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543"/>
        <w:tblW w:w="9889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/>
      </w:tblPr>
      <w:tblGrid>
        <w:gridCol w:w="9889"/>
      </w:tblGrid>
      <w:tr w:rsidR="008C7830" w:rsidTr="008C7830">
        <w:trPr>
          <w:trHeight w:val="14751"/>
        </w:trPr>
        <w:tc>
          <w:tcPr>
            <w:tcW w:w="988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C7830" w:rsidRDefault="008C7830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8C7830" w:rsidRDefault="008C7830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  <w:p w:rsidR="008C7830" w:rsidRDefault="008C7830">
            <w:pPr>
              <w:ind w:firstLine="709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C7830" w:rsidRDefault="008C7830">
            <w:pPr>
              <w:ind w:firstLine="709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Прогноз</w:t>
            </w:r>
          </w:p>
          <w:p w:rsidR="008C7830" w:rsidRDefault="008C7830">
            <w:pPr>
              <w:ind w:firstLine="709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8C7830" w:rsidRDefault="008C7830">
            <w:pPr>
              <w:ind w:firstLine="709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социально-экономического развития Чебаклинского сельского поселения</w:t>
            </w:r>
          </w:p>
          <w:p w:rsidR="007D60B9" w:rsidRDefault="008C783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Большеуковского муниципального района Омской области</w:t>
            </w:r>
          </w:p>
          <w:p w:rsidR="007D60B9" w:rsidRDefault="008C7830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на 202</w:t>
            </w:r>
            <w:r w:rsidR="004B1386"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год </w:t>
            </w:r>
          </w:p>
          <w:p w:rsidR="008C7830" w:rsidRDefault="008C7830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и на плановый период 202</w:t>
            </w:r>
            <w:r w:rsidR="004B1386">
              <w:rPr>
                <w:rFonts w:ascii="Times New Roman" w:hAnsi="Times New Roman" w:cs="Times New Roman"/>
                <w:b/>
                <w:sz w:val="52"/>
                <w:szCs w:val="52"/>
              </w:rPr>
              <w:t>6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и 202</w:t>
            </w:r>
            <w:r w:rsidR="004B1386"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годов</w:t>
            </w:r>
          </w:p>
          <w:p w:rsidR="008C7830" w:rsidRDefault="008C7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7830" w:rsidRDefault="008C78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C7830" w:rsidRDefault="008C7830" w:rsidP="000F61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прогнозу социально-экономического развития Чебаклинского сельского поселения Большеуковского муниципального района Омской области на 202</w:t>
      </w:r>
      <w:r w:rsidR="004B138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13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B13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F6138" w:rsidRDefault="000F6138" w:rsidP="000F6138">
      <w:pPr>
        <w:pStyle w:val="8"/>
        <w:ind w:left="0"/>
        <w:jc w:val="center"/>
        <w:rPr>
          <w:b w:val="0"/>
          <w:i w:val="0"/>
          <w:sz w:val="28"/>
          <w:szCs w:val="28"/>
        </w:rPr>
      </w:pPr>
    </w:p>
    <w:p w:rsidR="008C7830" w:rsidRPr="000F6138" w:rsidRDefault="008C7830" w:rsidP="000F6138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6138">
        <w:rPr>
          <w:rFonts w:ascii="Times New Roman" w:hAnsi="Times New Roman" w:cs="Times New Roman"/>
          <w:sz w:val="28"/>
          <w:szCs w:val="28"/>
        </w:rPr>
        <w:t>Раздел 1.  Институциональная структура</w:t>
      </w:r>
      <w:r w:rsidR="004B1386">
        <w:rPr>
          <w:rFonts w:ascii="Times New Roman" w:hAnsi="Times New Roman" w:cs="Times New Roman"/>
          <w:sz w:val="28"/>
          <w:szCs w:val="28"/>
        </w:rPr>
        <w:t xml:space="preserve"> </w:t>
      </w:r>
      <w:r w:rsidRPr="000F613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F6138" w:rsidRPr="000F6138" w:rsidRDefault="000F6138" w:rsidP="000F613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C7830" w:rsidRPr="00EB642F" w:rsidRDefault="000F6138" w:rsidP="000F613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7830" w:rsidRPr="00EB642F">
        <w:rPr>
          <w:rFonts w:ascii="Times New Roman" w:hAnsi="Times New Roman" w:cs="Times New Roman"/>
          <w:sz w:val="24"/>
          <w:szCs w:val="24"/>
        </w:rPr>
        <w:t xml:space="preserve">Чебаклинское сельское поселение  расположено в северо-восточной  части Большеуковского МО. На севере оно граничит с </w:t>
      </w:r>
      <w:proofErr w:type="spellStart"/>
      <w:r w:rsidR="008C7830" w:rsidRPr="00EB642F">
        <w:rPr>
          <w:rFonts w:ascii="Times New Roman" w:hAnsi="Times New Roman" w:cs="Times New Roman"/>
          <w:sz w:val="24"/>
          <w:szCs w:val="24"/>
        </w:rPr>
        <w:t>Тевризским</w:t>
      </w:r>
      <w:proofErr w:type="spellEnd"/>
      <w:r w:rsidR="008C7830" w:rsidRPr="00EB642F">
        <w:rPr>
          <w:rFonts w:ascii="Times New Roman" w:hAnsi="Times New Roman" w:cs="Times New Roman"/>
          <w:sz w:val="24"/>
          <w:szCs w:val="24"/>
        </w:rPr>
        <w:t xml:space="preserve"> МО, на востоке – со Знаменским МО,  на юге – с </w:t>
      </w:r>
      <w:proofErr w:type="spellStart"/>
      <w:r w:rsidR="008C7830" w:rsidRPr="00EB642F">
        <w:rPr>
          <w:rFonts w:ascii="Times New Roman" w:hAnsi="Times New Roman" w:cs="Times New Roman"/>
          <w:sz w:val="24"/>
          <w:szCs w:val="24"/>
        </w:rPr>
        <w:t>Аёвским</w:t>
      </w:r>
      <w:proofErr w:type="spellEnd"/>
      <w:r w:rsidR="008C7830" w:rsidRPr="00EB64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C7830" w:rsidRPr="00EB642F">
        <w:rPr>
          <w:rFonts w:ascii="Times New Roman" w:hAnsi="Times New Roman" w:cs="Times New Roman"/>
          <w:sz w:val="24"/>
          <w:szCs w:val="24"/>
        </w:rPr>
        <w:t>Фирстовским</w:t>
      </w:r>
      <w:proofErr w:type="spellEnd"/>
      <w:r w:rsidR="008C7830" w:rsidRPr="00EB642F">
        <w:rPr>
          <w:rFonts w:ascii="Times New Roman" w:hAnsi="Times New Roman" w:cs="Times New Roman"/>
          <w:sz w:val="24"/>
          <w:szCs w:val="24"/>
        </w:rPr>
        <w:t xml:space="preserve"> сельскими поселениями, на западе – с </w:t>
      </w:r>
      <w:proofErr w:type="spellStart"/>
      <w:r w:rsidR="008C7830" w:rsidRPr="00EB642F">
        <w:rPr>
          <w:rFonts w:ascii="Times New Roman" w:hAnsi="Times New Roman" w:cs="Times New Roman"/>
          <w:sz w:val="24"/>
          <w:szCs w:val="24"/>
        </w:rPr>
        <w:t>Уралинским</w:t>
      </w:r>
      <w:proofErr w:type="spellEnd"/>
      <w:r w:rsidR="008C7830" w:rsidRPr="00EB642F">
        <w:rPr>
          <w:rFonts w:ascii="Times New Roman" w:hAnsi="Times New Roman" w:cs="Times New Roman"/>
          <w:sz w:val="24"/>
          <w:szCs w:val="24"/>
        </w:rPr>
        <w:t xml:space="preserve"> сельским поселением. </w:t>
      </w:r>
    </w:p>
    <w:p w:rsidR="008C7830" w:rsidRPr="00EB642F" w:rsidRDefault="008C7830" w:rsidP="000F6138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Площадь сельского поселения составляет </w:t>
      </w:r>
      <w:smartTag w:uri="urn:schemas-microsoft-com:office:smarttags" w:element="metricconverter">
        <w:smartTagPr>
          <w:attr w:name="ProductID" w:val="44866 га"/>
        </w:smartTagPr>
        <w:r w:rsidRPr="00EB642F">
          <w:rPr>
            <w:rFonts w:ascii="Times New Roman" w:hAnsi="Times New Roman" w:cs="Times New Roman"/>
            <w:sz w:val="24"/>
            <w:szCs w:val="24"/>
          </w:rPr>
          <w:t>44866 га</w:t>
        </w:r>
      </w:smartTag>
      <w:r w:rsidRPr="00EB642F">
        <w:rPr>
          <w:rFonts w:ascii="Times New Roman" w:hAnsi="Times New Roman" w:cs="Times New Roman"/>
          <w:sz w:val="24"/>
          <w:szCs w:val="24"/>
        </w:rPr>
        <w:t>.</w:t>
      </w:r>
    </w:p>
    <w:p w:rsidR="008C7830" w:rsidRPr="00EB642F" w:rsidRDefault="000F6138" w:rsidP="008C7830">
      <w:pPr>
        <w:tabs>
          <w:tab w:val="left" w:pos="415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7830" w:rsidRPr="00EB642F">
        <w:rPr>
          <w:rFonts w:ascii="Times New Roman" w:hAnsi="Times New Roman" w:cs="Times New Roman"/>
          <w:sz w:val="24"/>
          <w:szCs w:val="24"/>
        </w:rPr>
        <w:t xml:space="preserve">Центр поселения с. Чебаклы расположен на расстоянии </w:t>
      </w:r>
      <w:smartTag w:uri="urn:schemas-microsoft-com:office:smarttags" w:element="metricconverter">
        <w:smartTagPr>
          <w:attr w:name="ProductID" w:val="35 км"/>
        </w:smartTagPr>
        <w:r w:rsidR="008C7830" w:rsidRPr="00EB642F">
          <w:rPr>
            <w:rFonts w:ascii="Times New Roman" w:hAnsi="Times New Roman" w:cs="Times New Roman"/>
            <w:sz w:val="24"/>
            <w:szCs w:val="24"/>
          </w:rPr>
          <w:t>35 км</w:t>
        </w:r>
      </w:smartTag>
      <w:r w:rsidR="008C7830" w:rsidRPr="00EB642F">
        <w:rPr>
          <w:rFonts w:ascii="Times New Roman" w:hAnsi="Times New Roman" w:cs="Times New Roman"/>
          <w:sz w:val="24"/>
          <w:szCs w:val="24"/>
        </w:rPr>
        <w:t xml:space="preserve"> от центра МО «Большеуковский район» с. Большие </w:t>
      </w:r>
      <w:proofErr w:type="spellStart"/>
      <w:r w:rsidR="008C7830" w:rsidRPr="00EB642F">
        <w:rPr>
          <w:rFonts w:ascii="Times New Roman" w:hAnsi="Times New Roman" w:cs="Times New Roman"/>
          <w:sz w:val="24"/>
          <w:szCs w:val="24"/>
        </w:rPr>
        <w:t>Уки</w:t>
      </w:r>
      <w:proofErr w:type="spellEnd"/>
      <w:r w:rsidR="008C7830" w:rsidRPr="00EB642F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327 км"/>
        </w:smartTagPr>
        <w:r w:rsidR="008C7830" w:rsidRPr="00EB642F">
          <w:rPr>
            <w:rFonts w:ascii="Times New Roman" w:hAnsi="Times New Roman" w:cs="Times New Roman"/>
            <w:sz w:val="24"/>
            <w:szCs w:val="24"/>
          </w:rPr>
          <w:t>327 км</w:t>
        </w:r>
      </w:smartTag>
      <w:proofErr w:type="gramStart"/>
      <w:r w:rsidR="008C7830" w:rsidRPr="00EB64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7830" w:rsidRPr="00EB6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7830" w:rsidRPr="00EB642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C7830" w:rsidRPr="00EB642F">
        <w:rPr>
          <w:rFonts w:ascii="Times New Roman" w:hAnsi="Times New Roman" w:cs="Times New Roman"/>
          <w:sz w:val="24"/>
          <w:szCs w:val="24"/>
        </w:rPr>
        <w:t xml:space="preserve">т областного центра г. Омска и </w:t>
      </w:r>
      <w:smartTag w:uri="urn:schemas-microsoft-com:office:smarttags" w:element="metricconverter">
        <w:smartTagPr>
          <w:attr w:name="ProductID" w:val="115 км"/>
        </w:smartTagPr>
        <w:r w:rsidR="008C7830" w:rsidRPr="00EB642F">
          <w:rPr>
            <w:rFonts w:ascii="Times New Roman" w:hAnsi="Times New Roman" w:cs="Times New Roman"/>
            <w:sz w:val="24"/>
            <w:szCs w:val="24"/>
          </w:rPr>
          <w:t>115 км</w:t>
        </w:r>
      </w:smartTag>
      <w:r w:rsidR="008C7830" w:rsidRPr="00EB642F">
        <w:rPr>
          <w:rFonts w:ascii="Times New Roman" w:hAnsi="Times New Roman" w:cs="Times New Roman"/>
          <w:sz w:val="24"/>
          <w:szCs w:val="24"/>
        </w:rPr>
        <w:t xml:space="preserve">  от г. Тары. Расстояние до ближайшей железнодорожной станции Называевской</w:t>
      </w:r>
      <w:smartTag w:uri="urn:schemas-microsoft-com:office:smarttags" w:element="metricconverter">
        <w:smartTagPr>
          <w:attr w:name="ProductID" w:val="265 км"/>
        </w:smartTagPr>
        <w:r w:rsidR="008C7830" w:rsidRPr="00EB642F">
          <w:rPr>
            <w:rFonts w:ascii="Times New Roman" w:hAnsi="Times New Roman" w:cs="Times New Roman"/>
            <w:sz w:val="24"/>
            <w:szCs w:val="24"/>
          </w:rPr>
          <w:t>265 км</w:t>
        </w:r>
      </w:smartTag>
      <w:r w:rsidR="008C7830" w:rsidRPr="00EB642F">
        <w:rPr>
          <w:rFonts w:ascii="Times New Roman" w:hAnsi="Times New Roman" w:cs="Times New Roman"/>
          <w:sz w:val="24"/>
          <w:szCs w:val="24"/>
        </w:rPr>
        <w:t xml:space="preserve">, ближайшей пристани с. Знаменское – </w:t>
      </w:r>
      <w:smartTag w:uri="urn:schemas-microsoft-com:office:smarttags" w:element="metricconverter">
        <w:smartTagPr>
          <w:attr w:name="ProductID" w:val="65 км"/>
        </w:smartTagPr>
        <w:r w:rsidR="008C7830" w:rsidRPr="00EB642F">
          <w:rPr>
            <w:rFonts w:ascii="Times New Roman" w:hAnsi="Times New Roman" w:cs="Times New Roman"/>
            <w:sz w:val="24"/>
            <w:szCs w:val="24"/>
          </w:rPr>
          <w:t>65 км</w:t>
        </w:r>
      </w:smartTag>
      <w:r w:rsidR="008C7830" w:rsidRPr="00EB642F">
        <w:rPr>
          <w:rFonts w:ascii="Times New Roman" w:hAnsi="Times New Roman" w:cs="Times New Roman"/>
          <w:sz w:val="24"/>
          <w:szCs w:val="24"/>
        </w:rPr>
        <w:t>.</w:t>
      </w: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Территория сельского поселения представляет собой пониженную, слегка волнистую равнину с обширными заболоченными пространствами, прерывающимися небольшими гривами, покрытыми лесом.</w:t>
      </w: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 Из разведанных полезных ископаемых на территории сельского поселения имеются  месторождения торфа – 24 455 тонн.</w:t>
      </w: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 На территории сельского поселения имеются небольшие озера, запасы в них сапропеля позволяют производить промышленную добычу и переработку. По характеру растительности поселение относится к зоне южной </w:t>
      </w:r>
      <w:proofErr w:type="spellStart"/>
      <w:r w:rsidRPr="00EB642F">
        <w:rPr>
          <w:rFonts w:ascii="Times New Roman" w:hAnsi="Times New Roman" w:cs="Times New Roman"/>
          <w:sz w:val="24"/>
          <w:szCs w:val="24"/>
        </w:rPr>
        <w:t>подтайги</w:t>
      </w:r>
      <w:proofErr w:type="spellEnd"/>
      <w:r w:rsidRPr="00EB642F">
        <w:rPr>
          <w:rFonts w:ascii="Times New Roman" w:hAnsi="Times New Roman" w:cs="Times New Roman"/>
          <w:sz w:val="24"/>
          <w:szCs w:val="24"/>
        </w:rPr>
        <w:t>. Лесная растительность представляет собой смешанные леса, состоящие в основном из березы. Имеются: сосна, ель, кедр, пихта, лиственница, осина, липа.</w:t>
      </w:r>
    </w:p>
    <w:p w:rsidR="008C7830" w:rsidRDefault="008C7830" w:rsidP="008C783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Сельское поселение состоит из двух населенных пунктов: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5"/>
        <w:gridCol w:w="2126"/>
        <w:gridCol w:w="2268"/>
      </w:tblGrid>
      <w:tr w:rsidR="008C7830" w:rsidTr="007D6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 w:rsidP="007D60B9">
            <w:pPr>
              <w:pStyle w:val="a7"/>
              <w:jc w:val="center"/>
            </w:pPr>
            <w:r>
              <w:t>Число жителей</w:t>
            </w:r>
          </w:p>
          <w:p w:rsidR="008C7830" w:rsidRDefault="008C7830" w:rsidP="007D60B9">
            <w:pPr>
              <w:pStyle w:val="a7"/>
              <w:jc w:val="center"/>
            </w:pPr>
            <w:r>
              <w:t>проживает всего</w:t>
            </w:r>
          </w:p>
          <w:p w:rsidR="008C7830" w:rsidRDefault="008C7830" w:rsidP="007D60B9">
            <w:pPr>
              <w:pStyle w:val="a7"/>
              <w:jc w:val="center"/>
            </w:pPr>
            <w:r>
              <w:t>(чел.)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 w:rsidP="007D60B9">
            <w:pPr>
              <w:pStyle w:val="a7"/>
              <w:jc w:val="center"/>
            </w:pPr>
            <w:r>
              <w:t>Число жителей  зарегистрированных (прописанных) (чел.)</w:t>
            </w:r>
          </w:p>
        </w:tc>
      </w:tr>
      <w:tr w:rsidR="008C7830" w:rsidTr="007D6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Чебаклы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310586" w:rsidP="004B1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138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 w:rsidP="004B1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1386">
              <w:rPr>
                <w:rFonts w:ascii="Times New Roman" w:hAnsi="Times New Roman" w:cs="Times New Roman"/>
              </w:rPr>
              <w:t>26</w:t>
            </w:r>
          </w:p>
        </w:tc>
      </w:tr>
      <w:tr w:rsidR="008C7830" w:rsidTr="007D6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Деревня Чаунино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4B1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4B1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8C7830" w:rsidTr="007D6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31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B13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310586" w:rsidP="004B1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B1386">
              <w:rPr>
                <w:rFonts w:ascii="Times New Roman" w:hAnsi="Times New Roman" w:cs="Times New Roman"/>
              </w:rPr>
              <w:t>1</w:t>
            </w:r>
          </w:p>
        </w:tc>
      </w:tr>
    </w:tbl>
    <w:p w:rsidR="008C7830" w:rsidRDefault="008C7830" w:rsidP="008C7830">
      <w:pPr>
        <w:jc w:val="both"/>
        <w:rPr>
          <w:rFonts w:ascii="Times New Roman" w:hAnsi="Times New Roman" w:cs="Times New Roman"/>
          <w:sz w:val="28"/>
        </w:rPr>
      </w:pP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     Число постоянных хозяйств по состоянию на 01.01.202</w:t>
      </w:r>
      <w:r w:rsidR="004B1386">
        <w:rPr>
          <w:rFonts w:ascii="Times New Roman" w:hAnsi="Times New Roman" w:cs="Times New Roman"/>
          <w:sz w:val="24"/>
          <w:szCs w:val="24"/>
        </w:rPr>
        <w:t>4</w:t>
      </w:r>
      <w:r w:rsidRPr="00EB642F">
        <w:rPr>
          <w:rFonts w:ascii="Times New Roman" w:hAnsi="Times New Roman" w:cs="Times New Roman"/>
          <w:sz w:val="24"/>
          <w:szCs w:val="24"/>
        </w:rPr>
        <w:t xml:space="preserve"> г. составило 1</w:t>
      </w:r>
      <w:r w:rsidR="00310586">
        <w:rPr>
          <w:rFonts w:ascii="Times New Roman" w:hAnsi="Times New Roman" w:cs="Times New Roman"/>
          <w:sz w:val="24"/>
          <w:szCs w:val="24"/>
        </w:rPr>
        <w:t>3</w:t>
      </w:r>
      <w:r w:rsidR="004B1386">
        <w:rPr>
          <w:rFonts w:ascii="Times New Roman" w:hAnsi="Times New Roman" w:cs="Times New Roman"/>
          <w:sz w:val="24"/>
          <w:szCs w:val="24"/>
        </w:rPr>
        <w:t>3</w:t>
      </w:r>
      <w:r w:rsidRPr="00EB642F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     Численность постоянного населения, проживающего на территории поселения по состоянию на 1 июля 202</w:t>
      </w:r>
      <w:r w:rsidR="004B1386">
        <w:rPr>
          <w:rFonts w:ascii="Times New Roman" w:hAnsi="Times New Roman" w:cs="Times New Roman"/>
          <w:sz w:val="24"/>
          <w:szCs w:val="24"/>
        </w:rPr>
        <w:t>4</w:t>
      </w:r>
      <w:r w:rsidRPr="00EB642F">
        <w:rPr>
          <w:rFonts w:ascii="Times New Roman" w:hAnsi="Times New Roman" w:cs="Times New Roman"/>
          <w:sz w:val="24"/>
          <w:szCs w:val="24"/>
        </w:rPr>
        <w:t xml:space="preserve"> г. – </w:t>
      </w:r>
      <w:r w:rsidR="004B1386">
        <w:rPr>
          <w:rFonts w:ascii="Times New Roman" w:hAnsi="Times New Roman" w:cs="Times New Roman"/>
          <w:sz w:val="24"/>
          <w:szCs w:val="24"/>
        </w:rPr>
        <w:t>280</w:t>
      </w:r>
      <w:r w:rsidRPr="00EB642F">
        <w:rPr>
          <w:rFonts w:ascii="Times New Roman" w:hAnsi="Times New Roman" w:cs="Times New Roman"/>
          <w:sz w:val="24"/>
          <w:szCs w:val="24"/>
        </w:rPr>
        <w:t xml:space="preserve"> человека (всего), в т.ч</w:t>
      </w:r>
      <w:r w:rsidR="004B1386">
        <w:rPr>
          <w:rFonts w:ascii="Times New Roman" w:hAnsi="Times New Roman" w:cs="Times New Roman"/>
          <w:sz w:val="24"/>
          <w:szCs w:val="24"/>
        </w:rPr>
        <w:t>. 311</w:t>
      </w:r>
      <w:r w:rsidRPr="00EB642F">
        <w:rPr>
          <w:rFonts w:ascii="Times New Roman" w:hAnsi="Times New Roman" w:cs="Times New Roman"/>
          <w:sz w:val="24"/>
          <w:szCs w:val="24"/>
        </w:rPr>
        <w:t xml:space="preserve"> – прописанных,</w:t>
      </w:r>
      <w:r w:rsidR="00310586">
        <w:rPr>
          <w:rFonts w:ascii="Times New Roman" w:hAnsi="Times New Roman" w:cs="Times New Roman"/>
          <w:sz w:val="24"/>
          <w:szCs w:val="24"/>
        </w:rPr>
        <w:t xml:space="preserve">  по состоянию на 1 октября 202</w:t>
      </w:r>
      <w:r w:rsidR="004B1386">
        <w:rPr>
          <w:rFonts w:ascii="Times New Roman" w:hAnsi="Times New Roman" w:cs="Times New Roman"/>
          <w:sz w:val="24"/>
          <w:szCs w:val="24"/>
        </w:rPr>
        <w:t>4 г. –  280</w:t>
      </w:r>
      <w:r w:rsidRPr="00EB642F">
        <w:rPr>
          <w:rFonts w:ascii="Times New Roman" w:hAnsi="Times New Roman" w:cs="Times New Roman"/>
          <w:sz w:val="24"/>
          <w:szCs w:val="24"/>
        </w:rPr>
        <w:t xml:space="preserve"> человек (всего), в т.ч. </w:t>
      </w:r>
      <w:r w:rsidR="004B1386">
        <w:rPr>
          <w:rFonts w:ascii="Times New Roman" w:hAnsi="Times New Roman" w:cs="Times New Roman"/>
          <w:sz w:val="24"/>
          <w:szCs w:val="24"/>
        </w:rPr>
        <w:t>311</w:t>
      </w:r>
      <w:r w:rsidRPr="00EB642F">
        <w:rPr>
          <w:rFonts w:ascii="Times New Roman" w:hAnsi="Times New Roman" w:cs="Times New Roman"/>
          <w:sz w:val="24"/>
          <w:szCs w:val="24"/>
        </w:rPr>
        <w:t xml:space="preserve"> прописанных.</w:t>
      </w: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      В 202</w:t>
      </w:r>
      <w:r w:rsidR="004B1386">
        <w:rPr>
          <w:rFonts w:ascii="Times New Roman" w:hAnsi="Times New Roman" w:cs="Times New Roman"/>
          <w:sz w:val="24"/>
          <w:szCs w:val="24"/>
        </w:rPr>
        <w:t>4</w:t>
      </w:r>
      <w:r w:rsidRPr="00EB642F">
        <w:rPr>
          <w:rFonts w:ascii="Times New Roman" w:hAnsi="Times New Roman" w:cs="Times New Roman"/>
          <w:sz w:val="24"/>
          <w:szCs w:val="24"/>
        </w:rPr>
        <w:t xml:space="preserve"> году в поселении  население уменьшилось, за счет  </w:t>
      </w:r>
      <w:proofErr w:type="gramStart"/>
      <w:r w:rsidRPr="00EB642F"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  <w:r w:rsidRPr="00EB642F">
        <w:rPr>
          <w:rFonts w:ascii="Times New Roman" w:hAnsi="Times New Roman" w:cs="Times New Roman"/>
          <w:sz w:val="24"/>
          <w:szCs w:val="24"/>
        </w:rPr>
        <w:t xml:space="preserve"> и выбывших.  </w:t>
      </w: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Демографическая ситуация поселения критическая, рождаемость низкая.                  </w:t>
      </w:r>
    </w:p>
    <w:p w:rsidR="008C7830" w:rsidRPr="00EB642F" w:rsidRDefault="008C7830" w:rsidP="007D60B9">
      <w:pPr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Численность населения по полу и возрасту по состоянию на 01.01.202</w:t>
      </w:r>
      <w:r w:rsidR="009E124D">
        <w:rPr>
          <w:rFonts w:ascii="Times New Roman" w:hAnsi="Times New Roman" w:cs="Times New Roman"/>
          <w:sz w:val="24"/>
          <w:szCs w:val="24"/>
        </w:rPr>
        <w:t>4</w:t>
      </w:r>
      <w:r w:rsidRPr="00EB642F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1602"/>
        <w:gridCol w:w="2040"/>
        <w:gridCol w:w="1905"/>
        <w:gridCol w:w="1925"/>
      </w:tblGrid>
      <w:tr w:rsidR="008C7830" w:rsidTr="007D60B9"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Поселение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 w:rsidP="007D60B9">
            <w:pPr>
              <w:pStyle w:val="a7"/>
              <w:jc w:val="center"/>
            </w:pPr>
            <w:r>
              <w:t>Население, всего</w:t>
            </w:r>
          </w:p>
          <w:p w:rsidR="008C7830" w:rsidRDefault="008C7830" w:rsidP="007D60B9">
            <w:pPr>
              <w:pStyle w:val="a7"/>
              <w:jc w:val="center"/>
            </w:pPr>
            <w:r>
              <w:t>(чел.)</w:t>
            </w:r>
          </w:p>
        </w:tc>
        <w:tc>
          <w:tcPr>
            <w:tcW w:w="5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8C7830" w:rsidTr="00310586">
        <w:trPr>
          <w:trHeight w:val="17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Моложе трудоспособного возраста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трудоспособном возрасте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 трудоспособного возраста</w:t>
            </w:r>
          </w:p>
        </w:tc>
      </w:tr>
      <w:tr w:rsidR="008C7830" w:rsidTr="007D60B9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Наличное население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310586" w:rsidP="009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E1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31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E12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EB4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124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EB45A3" w:rsidP="009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E124D">
              <w:rPr>
                <w:rFonts w:ascii="Times New Roman" w:hAnsi="Times New Roman" w:cs="Times New Roman"/>
              </w:rPr>
              <w:t>1</w:t>
            </w:r>
          </w:p>
        </w:tc>
      </w:tr>
      <w:tr w:rsidR="008C7830" w:rsidTr="007D60B9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- мужчины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310586" w:rsidP="009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124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EB45A3" w:rsidP="009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E12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EB45A3" w:rsidP="009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E12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EB45A3" w:rsidP="0059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8C7830" w:rsidTr="007D60B9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- женщины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31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EB4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EB4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EB4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E124D">
              <w:rPr>
                <w:rFonts w:ascii="Times New Roman" w:hAnsi="Times New Roman" w:cs="Times New Roman"/>
              </w:rPr>
              <w:t>6</w:t>
            </w:r>
          </w:p>
        </w:tc>
      </w:tr>
    </w:tbl>
    <w:p w:rsidR="008C7830" w:rsidRDefault="008C7830" w:rsidP="008C7830">
      <w:pPr>
        <w:jc w:val="both"/>
        <w:rPr>
          <w:rFonts w:ascii="Times New Roman" w:hAnsi="Times New Roman" w:cs="Times New Roman"/>
          <w:sz w:val="28"/>
        </w:rPr>
      </w:pPr>
    </w:p>
    <w:p w:rsidR="008C7830" w:rsidRPr="00EB642F" w:rsidRDefault="000F6138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7830" w:rsidRPr="00EB642F">
        <w:rPr>
          <w:rFonts w:ascii="Times New Roman" w:hAnsi="Times New Roman" w:cs="Times New Roman"/>
          <w:sz w:val="24"/>
          <w:szCs w:val="24"/>
        </w:rPr>
        <w:t xml:space="preserve">Состояние и перспективы социально-экономического развития Чебаклинского сельского поселения во многом определяется его географическим положением, территориальной особенностью и природно-климатическими условиями. Экономическая политика в прогнозном периоде будет направлена на создание условий для развития  индивидуального предпринимательства и улучшения уровня жизни населения сельского поселения. </w:t>
      </w:r>
    </w:p>
    <w:p w:rsidR="008C7830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В каждом разделе прогноза </w:t>
      </w:r>
      <w:r w:rsidR="00EB45A3" w:rsidRPr="00EB642F">
        <w:rPr>
          <w:rFonts w:ascii="Times New Roman" w:hAnsi="Times New Roman" w:cs="Times New Roman"/>
          <w:sz w:val="24"/>
          <w:szCs w:val="24"/>
        </w:rPr>
        <w:t>предшествует оценка</w:t>
      </w:r>
      <w:r w:rsidRPr="00EB642F">
        <w:rPr>
          <w:rFonts w:ascii="Times New Roman" w:hAnsi="Times New Roman" w:cs="Times New Roman"/>
          <w:sz w:val="24"/>
          <w:szCs w:val="24"/>
        </w:rPr>
        <w:t xml:space="preserve"> ситуации в текущем 202</w:t>
      </w:r>
      <w:r w:rsidR="009E124D">
        <w:rPr>
          <w:rFonts w:ascii="Times New Roman" w:hAnsi="Times New Roman" w:cs="Times New Roman"/>
          <w:sz w:val="24"/>
          <w:szCs w:val="24"/>
        </w:rPr>
        <w:t xml:space="preserve">4 </w:t>
      </w:r>
      <w:r w:rsidR="00EB45A3" w:rsidRPr="00EB642F">
        <w:rPr>
          <w:rFonts w:ascii="Times New Roman" w:hAnsi="Times New Roman" w:cs="Times New Roman"/>
          <w:sz w:val="24"/>
          <w:szCs w:val="24"/>
        </w:rPr>
        <w:t>году, план</w:t>
      </w:r>
      <w:r w:rsidRPr="00EB642F">
        <w:rPr>
          <w:rFonts w:ascii="Times New Roman" w:hAnsi="Times New Roman" w:cs="Times New Roman"/>
          <w:sz w:val="24"/>
          <w:szCs w:val="24"/>
        </w:rPr>
        <w:t xml:space="preserve"> на 202</w:t>
      </w:r>
      <w:r w:rsidR="009E124D">
        <w:rPr>
          <w:rFonts w:ascii="Times New Roman" w:hAnsi="Times New Roman" w:cs="Times New Roman"/>
          <w:sz w:val="24"/>
          <w:szCs w:val="24"/>
        </w:rPr>
        <w:t>5</w:t>
      </w:r>
      <w:r w:rsidRPr="00EB642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E124D">
        <w:rPr>
          <w:rFonts w:ascii="Times New Roman" w:hAnsi="Times New Roman" w:cs="Times New Roman"/>
          <w:sz w:val="24"/>
          <w:szCs w:val="24"/>
        </w:rPr>
        <w:t>6</w:t>
      </w:r>
      <w:r w:rsidRPr="00EB642F">
        <w:rPr>
          <w:rFonts w:ascii="Times New Roman" w:hAnsi="Times New Roman" w:cs="Times New Roman"/>
          <w:sz w:val="24"/>
          <w:szCs w:val="24"/>
        </w:rPr>
        <w:t xml:space="preserve"> и 202</w:t>
      </w:r>
      <w:r w:rsidR="009E124D">
        <w:rPr>
          <w:rFonts w:ascii="Times New Roman" w:hAnsi="Times New Roman" w:cs="Times New Roman"/>
          <w:sz w:val="24"/>
          <w:szCs w:val="24"/>
        </w:rPr>
        <w:t>7</w:t>
      </w:r>
      <w:r w:rsidRPr="00EB642F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0F6138" w:rsidRDefault="000F6138" w:rsidP="000F6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830" w:rsidRDefault="008C7830" w:rsidP="000F61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Эффективность использования муниципальной собственности</w:t>
      </w:r>
    </w:p>
    <w:p w:rsidR="008C7830" w:rsidRPr="00EB642F" w:rsidRDefault="000F6138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7830" w:rsidRPr="00EB642F">
        <w:rPr>
          <w:rFonts w:ascii="Times New Roman" w:hAnsi="Times New Roman" w:cs="Times New Roman"/>
          <w:sz w:val="24"/>
          <w:szCs w:val="24"/>
        </w:rPr>
        <w:t>Целью муниципальной политики в области управления собственностью является получение максимального эффекта от её использования. Эффект может быть получен как в денежной форме (например, за счет арендной платы), так и путем извлечения прямой пользы (оказание услуг населению). Основные инструменты муниципальной экономической политики – это земля и имущество. Передачу муниципального имущества в аренду осуществляет Комитет по управлению муниципальным имуществом.</w:t>
      </w:r>
    </w:p>
    <w:p w:rsidR="00EB642F" w:rsidRDefault="00EB642F" w:rsidP="008C7830">
      <w:pPr>
        <w:rPr>
          <w:rFonts w:ascii="Times New Roman" w:hAnsi="Times New Roman" w:cs="Times New Roman"/>
          <w:sz w:val="28"/>
        </w:rPr>
      </w:pPr>
    </w:p>
    <w:p w:rsidR="00EB642F" w:rsidRDefault="00EB642F" w:rsidP="008C7830">
      <w:pPr>
        <w:rPr>
          <w:rFonts w:ascii="Times New Roman" w:hAnsi="Times New Roman" w:cs="Times New Roman"/>
          <w:sz w:val="28"/>
        </w:rPr>
      </w:pPr>
    </w:p>
    <w:p w:rsidR="000F6138" w:rsidRDefault="008C7830" w:rsidP="008C78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0F6138" w:rsidRDefault="000F6138" w:rsidP="008C7830">
      <w:pPr>
        <w:rPr>
          <w:rFonts w:ascii="Times New Roman" w:hAnsi="Times New Roman" w:cs="Times New Roman"/>
          <w:sz w:val="28"/>
        </w:rPr>
      </w:pPr>
    </w:p>
    <w:p w:rsidR="000F6138" w:rsidRDefault="000F6138" w:rsidP="008C7830">
      <w:pPr>
        <w:rPr>
          <w:rFonts w:ascii="Times New Roman" w:hAnsi="Times New Roman" w:cs="Times New Roman"/>
          <w:sz w:val="28"/>
        </w:rPr>
      </w:pPr>
    </w:p>
    <w:p w:rsidR="008C7830" w:rsidRDefault="008C7830" w:rsidP="008C78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Показатели:</w:t>
      </w:r>
    </w:p>
    <w:tbl>
      <w:tblPr>
        <w:tblpPr w:leftFromText="180" w:rightFromText="180" w:bottomFromText="200" w:vertAnchor="text" w:horzAnchor="margin" w:tblpXSpec="center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721"/>
        <w:gridCol w:w="1080"/>
        <w:gridCol w:w="1062"/>
        <w:gridCol w:w="1278"/>
        <w:gridCol w:w="1188"/>
        <w:gridCol w:w="1260"/>
      </w:tblGrid>
      <w:tr w:rsidR="008C7830" w:rsidTr="00EB45A3">
        <w:trPr>
          <w:trHeight w:val="9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 w:rsidP="007D60B9">
            <w:pPr>
              <w:pStyle w:val="a7"/>
              <w:jc w:val="center"/>
            </w:pPr>
            <w:r>
              <w:t>Показатели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 w:rsidP="007D60B9">
            <w:pPr>
              <w:pStyle w:val="a7"/>
              <w:jc w:val="center"/>
            </w:pPr>
            <w:r>
              <w:t xml:space="preserve">Ед. </w:t>
            </w:r>
            <w:proofErr w:type="spellStart"/>
            <w:r>
              <w:t>измер</w:t>
            </w:r>
            <w:proofErr w:type="spellEnd"/>
            <w: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 w:rsidP="007D60B9">
            <w:pPr>
              <w:pStyle w:val="a7"/>
              <w:jc w:val="center"/>
            </w:pPr>
            <w:r>
              <w:t>202</w:t>
            </w:r>
            <w:r w:rsidR="009E124D">
              <w:t>4</w:t>
            </w:r>
            <w:r>
              <w:t xml:space="preserve"> г.</w:t>
            </w:r>
          </w:p>
          <w:p w:rsidR="008C7830" w:rsidRDefault="008C7830" w:rsidP="007D60B9">
            <w:pPr>
              <w:pStyle w:val="a7"/>
              <w:jc w:val="center"/>
            </w:pPr>
            <w:r>
              <w:t>оценка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 w:rsidP="007D60B9">
            <w:pPr>
              <w:pStyle w:val="a7"/>
              <w:jc w:val="center"/>
            </w:pPr>
            <w:r>
              <w:t>202</w:t>
            </w:r>
            <w:r w:rsidR="009E124D">
              <w:t>5</w:t>
            </w:r>
            <w:r>
              <w:t xml:space="preserve"> г.</w:t>
            </w:r>
          </w:p>
          <w:p w:rsidR="008C7830" w:rsidRDefault="008C7830" w:rsidP="007D60B9">
            <w:pPr>
              <w:pStyle w:val="a7"/>
              <w:jc w:val="center"/>
            </w:pPr>
            <w:r>
              <w:t>прогноз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B9" w:rsidRDefault="007D60B9" w:rsidP="007D60B9">
            <w:pPr>
              <w:pStyle w:val="a7"/>
              <w:jc w:val="center"/>
            </w:pPr>
          </w:p>
          <w:p w:rsidR="008C7830" w:rsidRDefault="008C7830" w:rsidP="007D60B9">
            <w:pPr>
              <w:pStyle w:val="a7"/>
              <w:jc w:val="center"/>
            </w:pPr>
            <w:r>
              <w:t>202</w:t>
            </w:r>
            <w:r w:rsidR="009E124D">
              <w:t>6</w:t>
            </w:r>
            <w:r>
              <w:t xml:space="preserve"> г.</w:t>
            </w:r>
          </w:p>
          <w:p w:rsidR="008C7830" w:rsidRDefault="008C7830" w:rsidP="007D60B9">
            <w:pPr>
              <w:pStyle w:val="a7"/>
              <w:jc w:val="center"/>
            </w:pPr>
            <w:r>
              <w:t>прогноз</w:t>
            </w:r>
          </w:p>
          <w:p w:rsidR="008C7830" w:rsidRDefault="008C7830" w:rsidP="007D60B9">
            <w:pPr>
              <w:pStyle w:val="a7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B9" w:rsidRDefault="007D60B9" w:rsidP="007D60B9">
            <w:pPr>
              <w:pStyle w:val="a7"/>
              <w:jc w:val="center"/>
            </w:pPr>
          </w:p>
          <w:p w:rsidR="008C7830" w:rsidRDefault="008C7830" w:rsidP="007D60B9">
            <w:pPr>
              <w:pStyle w:val="a7"/>
              <w:jc w:val="center"/>
            </w:pPr>
            <w:r>
              <w:t>202</w:t>
            </w:r>
            <w:r w:rsidR="009E124D">
              <w:t>7</w:t>
            </w:r>
            <w:r>
              <w:t xml:space="preserve"> г.</w:t>
            </w:r>
          </w:p>
          <w:p w:rsidR="008C7830" w:rsidRDefault="008C7830" w:rsidP="007D60B9">
            <w:pPr>
              <w:pStyle w:val="a7"/>
              <w:jc w:val="center"/>
            </w:pPr>
            <w:r>
              <w:t>прогноз</w:t>
            </w:r>
          </w:p>
          <w:p w:rsidR="008C7830" w:rsidRDefault="008C7830" w:rsidP="007D60B9">
            <w:pPr>
              <w:pStyle w:val="a7"/>
              <w:jc w:val="center"/>
            </w:pPr>
          </w:p>
        </w:tc>
      </w:tr>
      <w:tr w:rsidR="008C7830" w:rsidTr="00EB45A3">
        <w:trPr>
          <w:trHeight w:val="9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 w:rsidP="00EB4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Заключеновсего договоров аренды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59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59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59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7830" w:rsidTr="00EB45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 w:rsidP="00EB4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Заключено договоров аренды земельных участков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7830" w:rsidTr="00EB45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EB45A3" w:rsidP="00EB4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земли сельскохозяйствен</w:t>
            </w:r>
            <w:r w:rsidR="008C7830">
              <w:rPr>
                <w:rFonts w:ascii="Times New Roman" w:hAnsi="Times New Roman" w:cs="Times New Roman"/>
              </w:rPr>
              <w:t>ного назначения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7830" w:rsidTr="00EB45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 w:rsidP="00EB4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земли не  с/ хоз. назначения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7830" w:rsidTr="00EB45A3">
        <w:trPr>
          <w:trHeight w:val="4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 w:rsidP="00EB4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сельскому поселению: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59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59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59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59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Земля является основой жизнедеятельности населения на территории сельского поселения и важнейшим инструментом муниципальной экономической политики. </w:t>
      </w:r>
    </w:p>
    <w:p w:rsidR="008C7830" w:rsidRDefault="008C7830" w:rsidP="008C7830">
      <w:pPr>
        <w:pStyle w:val="a5"/>
        <w:jc w:val="center"/>
      </w:pPr>
    </w:p>
    <w:p w:rsidR="008C7830" w:rsidRDefault="008C7830" w:rsidP="008C7830">
      <w:pPr>
        <w:pStyle w:val="a5"/>
        <w:jc w:val="center"/>
      </w:pPr>
      <w:r>
        <w:t>Сведения об арендованных земельных участках по</w:t>
      </w:r>
    </w:p>
    <w:p w:rsidR="008C7830" w:rsidRDefault="008C7830" w:rsidP="008C7830">
      <w:pPr>
        <w:pStyle w:val="2"/>
        <w:tabs>
          <w:tab w:val="center" w:pos="5102"/>
          <w:tab w:val="left" w:pos="8385"/>
        </w:tabs>
      </w:pPr>
      <w:proofErr w:type="spellStart"/>
      <w:r>
        <w:t>Чебаклинскому</w:t>
      </w:r>
      <w:proofErr w:type="spellEnd"/>
      <w:r>
        <w:t xml:space="preserve"> сельскому поселению</w:t>
      </w:r>
    </w:p>
    <w:p w:rsidR="008C7830" w:rsidRDefault="008C7830" w:rsidP="008C7830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4560"/>
        <w:gridCol w:w="1259"/>
        <w:gridCol w:w="1149"/>
        <w:gridCol w:w="1259"/>
        <w:gridCol w:w="1039"/>
      </w:tblGrid>
      <w:tr w:rsidR="008C7830" w:rsidTr="008C78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 w:rsidP="009E1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E124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  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 w:rsidP="009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E124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     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 w:rsidP="009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E124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     прогноз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 w:rsidP="009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E124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     прогноз</w:t>
            </w:r>
          </w:p>
        </w:tc>
      </w:tr>
      <w:tr w:rsidR="008C7830" w:rsidTr="008C78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несельскохозяйственного назначения, (кв.м.)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8C7830" w:rsidTr="008C78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назначения, (га)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8C7830" w:rsidTr="008C78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</w:tr>
    </w:tbl>
    <w:p w:rsidR="008C7830" w:rsidRDefault="008C7830" w:rsidP="008C7830">
      <w:pPr>
        <w:jc w:val="both"/>
        <w:rPr>
          <w:rFonts w:ascii="Times New Roman" w:hAnsi="Times New Roman" w:cs="Times New Roman"/>
        </w:rPr>
      </w:pP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 Комитет по управлению муниципальным имуществом ежегодно производит начисление и сбор арендной платы за аренду недвижимого имущества и аренду земельных участков. Проанализировав динамику поступления денежных средств от сдачи имущества в аренду, наблюдаются ежегодные увеличения, это связано и с увеличением арендных ставок  и с развитием рыночных отношений на территории поселений. </w:t>
      </w: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lastRenderedPageBreak/>
        <w:t xml:space="preserve">      Рассчитывая арендную плату, согласно этим решениям наблюдается увеличение платежей от аренды имущества, как земли, так и недвижимых объектов в сторону увеличения, что прослеживается при расчетах  на 202</w:t>
      </w:r>
      <w:r w:rsidR="009E124D">
        <w:rPr>
          <w:rFonts w:ascii="Times New Roman" w:hAnsi="Times New Roman" w:cs="Times New Roman"/>
          <w:sz w:val="24"/>
          <w:szCs w:val="24"/>
        </w:rPr>
        <w:t>5</w:t>
      </w:r>
      <w:r w:rsidRPr="00EB642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E124D">
        <w:rPr>
          <w:rFonts w:ascii="Times New Roman" w:hAnsi="Times New Roman" w:cs="Times New Roman"/>
          <w:sz w:val="24"/>
          <w:szCs w:val="24"/>
        </w:rPr>
        <w:t>6</w:t>
      </w:r>
      <w:r w:rsidRPr="00EB642F">
        <w:rPr>
          <w:rFonts w:ascii="Times New Roman" w:hAnsi="Times New Roman" w:cs="Times New Roman"/>
          <w:sz w:val="24"/>
          <w:szCs w:val="24"/>
        </w:rPr>
        <w:t xml:space="preserve"> и 202</w:t>
      </w:r>
      <w:r w:rsidR="009E124D">
        <w:rPr>
          <w:rFonts w:ascii="Times New Roman" w:hAnsi="Times New Roman" w:cs="Times New Roman"/>
          <w:sz w:val="24"/>
          <w:szCs w:val="24"/>
        </w:rPr>
        <w:t>7</w:t>
      </w:r>
      <w:r w:rsidRPr="00EB642F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  Земельный налог начисляется в зависимости от кадастровой стоимости земельного участка, это повлияет на динамику поступления арендной платы по поселениям, так как кадастровая стоимость земли в каждом населенном пункте разная.     </w:t>
      </w:r>
    </w:p>
    <w:p w:rsidR="008C7830" w:rsidRDefault="008C7830" w:rsidP="000F61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Производственная сфера муниципального образования</w:t>
      </w:r>
    </w:p>
    <w:p w:rsidR="008C7830" w:rsidRDefault="008C7830" w:rsidP="000F613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</w:rPr>
        <w:t>.1. Сельское  хозяйство</w:t>
      </w:r>
    </w:p>
    <w:p w:rsidR="008C7830" w:rsidRPr="00EB642F" w:rsidRDefault="008C7830" w:rsidP="008C7830">
      <w:pPr>
        <w:pStyle w:val="a5"/>
        <w:rPr>
          <w:sz w:val="24"/>
          <w:szCs w:val="24"/>
        </w:rPr>
      </w:pPr>
      <w:r w:rsidRPr="00EB642F">
        <w:rPr>
          <w:sz w:val="24"/>
          <w:szCs w:val="24"/>
        </w:rPr>
        <w:t xml:space="preserve">       Основа экономики сельского поселения – сельское хозяйство. Основное направление – выращивание зерновых культур, производство мяса.</w:t>
      </w: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 На территории Чебаклинского сельского поселения СПК «Искорка» прекратила свою деятельность ещё в 2007 году, и в связи с этим сельское хозяйство не развивается. Живность держит только ЛПХ и КФХ.                   </w:t>
      </w:r>
    </w:p>
    <w:p w:rsidR="008C7830" w:rsidRDefault="008C7830" w:rsidP="008C78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Оценка экономики сельского хозяйства поселения в ЛПХ и КФХ за 20</w:t>
      </w:r>
      <w:r w:rsidR="00595E46">
        <w:rPr>
          <w:rFonts w:ascii="Times New Roman" w:hAnsi="Times New Roman" w:cs="Times New Roman"/>
          <w:sz w:val="28"/>
        </w:rPr>
        <w:t>2</w:t>
      </w:r>
      <w:r w:rsidR="009E124D">
        <w:rPr>
          <w:rFonts w:ascii="Times New Roman" w:hAnsi="Times New Roman" w:cs="Times New Roman"/>
          <w:sz w:val="28"/>
        </w:rPr>
        <w:t>2</w:t>
      </w:r>
      <w:r w:rsidR="00595E46">
        <w:rPr>
          <w:rFonts w:ascii="Times New Roman" w:hAnsi="Times New Roman" w:cs="Times New Roman"/>
          <w:sz w:val="28"/>
        </w:rPr>
        <w:t xml:space="preserve"> и 202</w:t>
      </w:r>
      <w:r w:rsidR="009E124D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</w:t>
      </w:r>
    </w:p>
    <w:p w:rsidR="008C7830" w:rsidRDefault="008C7830" w:rsidP="008C78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1. Животноводство</w:t>
      </w:r>
    </w:p>
    <w:p w:rsidR="008C7830" w:rsidRPr="00EB642F" w:rsidRDefault="008C7830" w:rsidP="008C7830">
      <w:pPr>
        <w:ind w:left="645"/>
        <w:jc w:val="center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>Поголовье основных видов скота в ЛПХ и КФХ  характеризуется следующими данными: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154"/>
        <w:gridCol w:w="1260"/>
        <w:gridCol w:w="1234"/>
        <w:gridCol w:w="926"/>
      </w:tblGrid>
      <w:tr w:rsidR="008C7830" w:rsidTr="008C7830">
        <w:trPr>
          <w:cantSplit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1 января 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 w:rsidP="009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E124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    в % к 20</w:t>
            </w:r>
            <w:r w:rsidR="00595E46">
              <w:rPr>
                <w:rFonts w:ascii="Times New Roman" w:hAnsi="Times New Roman" w:cs="Times New Roman"/>
              </w:rPr>
              <w:t>2</w:t>
            </w:r>
            <w:r w:rsidR="009E124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+  - )</w:t>
            </w:r>
          </w:p>
        </w:tc>
      </w:tr>
      <w:tr w:rsidR="008C7830" w:rsidTr="008C7830">
        <w:trPr>
          <w:cantSplit/>
          <w:trHeight w:val="16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 w:rsidP="009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95E46">
              <w:rPr>
                <w:rFonts w:ascii="Times New Roman" w:hAnsi="Times New Roman" w:cs="Times New Roman"/>
              </w:rPr>
              <w:t>2</w:t>
            </w:r>
            <w:r w:rsidR="009E124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 w:rsidP="009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E124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7830" w:rsidTr="008C7830">
        <w:trPr>
          <w:cantSplit/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КРУПНО РОГАТЫЙ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СКОТ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9E124D" w:rsidP="00595E46">
            <w:pPr>
              <w:tabs>
                <w:tab w:val="left" w:pos="240"/>
                <w:tab w:val="center" w:pos="46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9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9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59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E124D">
              <w:rPr>
                <w:rFonts w:ascii="Times New Roman" w:hAnsi="Times New Roman" w:cs="Times New Roman"/>
              </w:rPr>
              <w:t>4</w:t>
            </w:r>
          </w:p>
        </w:tc>
      </w:tr>
      <w:tr w:rsidR="008C7830" w:rsidTr="008C7830">
        <w:trPr>
          <w:cantSplit/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КОРОВЫ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9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9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9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9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7830" w:rsidTr="008C7830">
        <w:trPr>
          <w:cantSplit/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9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9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6F5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9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+37</w:t>
            </w:r>
          </w:p>
        </w:tc>
      </w:tr>
      <w:tr w:rsidR="008C7830" w:rsidTr="008C7830">
        <w:trPr>
          <w:cantSplit/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СВИНЬИ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9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9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6F5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59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E124D">
              <w:rPr>
                <w:rFonts w:ascii="Times New Roman" w:hAnsi="Times New Roman" w:cs="Times New Roman"/>
              </w:rPr>
              <w:t>7</w:t>
            </w:r>
          </w:p>
        </w:tc>
      </w:tr>
      <w:tr w:rsidR="008C7830" w:rsidTr="008C7830">
        <w:trPr>
          <w:cantSplit/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ОВЦЫ. КОЗЫ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9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9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6F5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59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</w:t>
            </w:r>
          </w:p>
        </w:tc>
      </w:tr>
      <w:tr w:rsidR="008C7830" w:rsidTr="008C7830">
        <w:trPr>
          <w:cantSplit/>
          <w:trHeight w:val="1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9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9E1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6F5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59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E124D">
              <w:rPr>
                <w:rFonts w:ascii="Times New Roman" w:hAnsi="Times New Roman" w:cs="Times New Roman"/>
              </w:rPr>
              <w:t>30</w:t>
            </w:r>
          </w:p>
        </w:tc>
      </w:tr>
    </w:tbl>
    <w:p w:rsidR="008C7830" w:rsidRPr="00EB642F" w:rsidRDefault="008C7830" w:rsidP="008C7830">
      <w:pPr>
        <w:ind w:left="645"/>
        <w:jc w:val="both"/>
        <w:rPr>
          <w:rFonts w:ascii="Times New Roman" w:hAnsi="Times New Roman" w:cs="Times New Roman"/>
          <w:sz w:val="24"/>
          <w:szCs w:val="24"/>
        </w:rPr>
      </w:pPr>
    </w:p>
    <w:p w:rsidR="008C7830" w:rsidRPr="00EB642F" w:rsidRDefault="008C7830" w:rsidP="008C7830">
      <w:pPr>
        <w:pStyle w:val="a5"/>
        <w:rPr>
          <w:sz w:val="24"/>
          <w:szCs w:val="24"/>
        </w:rPr>
      </w:pPr>
      <w:r w:rsidRPr="00EB642F">
        <w:rPr>
          <w:sz w:val="24"/>
          <w:szCs w:val="24"/>
        </w:rPr>
        <w:t xml:space="preserve">     Поголовье КРС в личных подсобных хозяйствах населения и КФХ  на уровне прошлого года уменьшилось на </w:t>
      </w:r>
      <w:r w:rsidR="006F528D">
        <w:rPr>
          <w:sz w:val="24"/>
          <w:szCs w:val="24"/>
        </w:rPr>
        <w:t>4</w:t>
      </w:r>
      <w:r w:rsidRPr="00EB642F">
        <w:rPr>
          <w:sz w:val="24"/>
          <w:szCs w:val="24"/>
        </w:rPr>
        <w:t xml:space="preserve"> голов</w:t>
      </w:r>
      <w:r w:rsidR="006F528D">
        <w:rPr>
          <w:sz w:val="24"/>
          <w:szCs w:val="24"/>
        </w:rPr>
        <w:t>ы</w:t>
      </w:r>
      <w:r w:rsidRPr="00EB642F">
        <w:rPr>
          <w:sz w:val="24"/>
          <w:szCs w:val="24"/>
        </w:rPr>
        <w:t>, поголовье свиней у</w:t>
      </w:r>
      <w:r w:rsidR="00595E46" w:rsidRPr="00EB642F">
        <w:rPr>
          <w:sz w:val="24"/>
          <w:szCs w:val="24"/>
        </w:rPr>
        <w:t>меньши</w:t>
      </w:r>
      <w:r w:rsidRPr="00EB642F">
        <w:rPr>
          <w:sz w:val="24"/>
          <w:szCs w:val="24"/>
        </w:rPr>
        <w:t xml:space="preserve">лось на </w:t>
      </w:r>
      <w:r w:rsidR="006F528D">
        <w:rPr>
          <w:sz w:val="24"/>
          <w:szCs w:val="24"/>
        </w:rPr>
        <w:t>7</w:t>
      </w:r>
      <w:r w:rsidRPr="00EB642F">
        <w:rPr>
          <w:sz w:val="24"/>
          <w:szCs w:val="24"/>
        </w:rPr>
        <w:t xml:space="preserve"> голов, поголовье  овец и коз уменьшилось к уровню 20</w:t>
      </w:r>
      <w:r w:rsidR="000F5044" w:rsidRPr="00EB642F">
        <w:rPr>
          <w:sz w:val="24"/>
          <w:szCs w:val="24"/>
        </w:rPr>
        <w:t>2</w:t>
      </w:r>
      <w:r w:rsidR="006F528D">
        <w:rPr>
          <w:sz w:val="24"/>
          <w:szCs w:val="24"/>
        </w:rPr>
        <w:t>3</w:t>
      </w:r>
      <w:r w:rsidRPr="00EB642F">
        <w:rPr>
          <w:sz w:val="24"/>
          <w:szCs w:val="24"/>
        </w:rPr>
        <w:t xml:space="preserve"> г. на </w:t>
      </w:r>
      <w:r w:rsidR="006F528D">
        <w:rPr>
          <w:sz w:val="24"/>
          <w:szCs w:val="24"/>
        </w:rPr>
        <w:t>4</w:t>
      </w:r>
      <w:r w:rsidRPr="00EB642F">
        <w:rPr>
          <w:sz w:val="24"/>
          <w:szCs w:val="24"/>
        </w:rPr>
        <w:t xml:space="preserve"> голов</w:t>
      </w:r>
      <w:r w:rsidR="006F528D">
        <w:rPr>
          <w:sz w:val="24"/>
          <w:szCs w:val="24"/>
        </w:rPr>
        <w:t>ы</w:t>
      </w:r>
      <w:r w:rsidRPr="00EB642F">
        <w:rPr>
          <w:sz w:val="24"/>
          <w:szCs w:val="24"/>
        </w:rPr>
        <w:t xml:space="preserve">, поголовье птицы   уменьшилось на </w:t>
      </w:r>
      <w:r w:rsidR="006F528D">
        <w:rPr>
          <w:sz w:val="24"/>
          <w:szCs w:val="24"/>
        </w:rPr>
        <w:t>30</w:t>
      </w:r>
      <w:r w:rsidRPr="00EB642F">
        <w:rPr>
          <w:sz w:val="24"/>
          <w:szCs w:val="24"/>
        </w:rPr>
        <w:t xml:space="preserve"> голов. Наблюдается уменьшение поголовья </w:t>
      </w:r>
      <w:proofErr w:type="spellStart"/>
      <w:r w:rsidRPr="00EB642F">
        <w:rPr>
          <w:sz w:val="24"/>
          <w:szCs w:val="24"/>
        </w:rPr>
        <w:t>крс</w:t>
      </w:r>
      <w:proofErr w:type="spellEnd"/>
      <w:r w:rsidRPr="00EB642F">
        <w:rPr>
          <w:sz w:val="24"/>
          <w:szCs w:val="24"/>
        </w:rPr>
        <w:t>, овец и коз  в хозяйствах населения. В 202</w:t>
      </w:r>
      <w:r w:rsidR="006F528D">
        <w:rPr>
          <w:sz w:val="24"/>
          <w:szCs w:val="24"/>
        </w:rPr>
        <w:t>5</w:t>
      </w:r>
      <w:r w:rsidRPr="00EB642F">
        <w:rPr>
          <w:sz w:val="24"/>
          <w:szCs w:val="24"/>
        </w:rPr>
        <w:t xml:space="preserve"> году и плановых периодах 202</w:t>
      </w:r>
      <w:r w:rsidR="006F528D">
        <w:rPr>
          <w:sz w:val="24"/>
          <w:szCs w:val="24"/>
        </w:rPr>
        <w:t>6</w:t>
      </w:r>
      <w:r w:rsidRPr="00EB642F">
        <w:rPr>
          <w:sz w:val="24"/>
          <w:szCs w:val="24"/>
        </w:rPr>
        <w:t>-202</w:t>
      </w:r>
      <w:r w:rsidR="006F528D">
        <w:rPr>
          <w:sz w:val="24"/>
          <w:szCs w:val="24"/>
        </w:rPr>
        <w:t>7</w:t>
      </w:r>
      <w:r w:rsidRPr="00EB642F">
        <w:rPr>
          <w:sz w:val="24"/>
          <w:szCs w:val="24"/>
        </w:rPr>
        <w:t xml:space="preserve"> годов будет уменьшение голов, так, как есть проблемы с заготовкой сена.</w:t>
      </w:r>
    </w:p>
    <w:p w:rsidR="008C7830" w:rsidRDefault="008C7830" w:rsidP="008C78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830" w:rsidRDefault="008C7830" w:rsidP="00EB642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Раздел 4. Потребительский рынок муниципального  образования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1872"/>
        <w:gridCol w:w="1028"/>
        <w:gridCol w:w="1080"/>
        <w:gridCol w:w="1312"/>
        <w:gridCol w:w="1260"/>
        <w:gridCol w:w="1260"/>
        <w:gridCol w:w="1861"/>
      </w:tblGrid>
      <w:tr w:rsidR="008C7830" w:rsidTr="00EB642F">
        <w:trPr>
          <w:trHeight w:val="9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F528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8C7830" w:rsidRDefault="008C7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F52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F52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F52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C7830" w:rsidTr="008C7830">
        <w:trPr>
          <w:trHeight w:val="1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розничной торговли (в ценах соотв. лет) – всего:</w:t>
            </w:r>
          </w:p>
          <w:p w:rsidR="008C7830" w:rsidRDefault="008C7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из  него:</w:t>
            </w:r>
          </w:p>
          <w:p w:rsidR="008C7830" w:rsidRDefault="008C7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розничной торговли в расчете на душу населения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руб.</w:t>
            </w:r>
          </w:p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руб.</w:t>
            </w:r>
          </w:p>
          <w:p w:rsidR="008C7830" w:rsidRDefault="008C7830">
            <w:pPr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 w:rsidP="006F5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45A3">
              <w:rPr>
                <w:rFonts w:ascii="Times New Roman" w:hAnsi="Times New Roman" w:cs="Times New Roman"/>
              </w:rPr>
              <w:t>2</w:t>
            </w:r>
            <w:r w:rsidR="006F52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0F5044" w:rsidP="006F5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F528D">
              <w:rPr>
                <w:rFonts w:ascii="Times New Roman" w:hAnsi="Times New Roman" w:cs="Times New Roman"/>
              </w:rPr>
              <w:t>7</w:t>
            </w:r>
            <w:r w:rsidR="008C7830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 w:rsidP="006F5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5044">
              <w:rPr>
                <w:rFonts w:ascii="Times New Roman" w:hAnsi="Times New Roman" w:cs="Times New Roman"/>
              </w:rPr>
              <w:t>2</w:t>
            </w:r>
            <w:r w:rsidR="006F528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 w:rsidP="006F5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F5044">
              <w:rPr>
                <w:rFonts w:ascii="Times New Roman" w:hAnsi="Times New Roman" w:cs="Times New Roman"/>
              </w:rPr>
              <w:t>2</w:t>
            </w:r>
            <w:r w:rsidR="006F528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 w:rsidP="000F5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поселения фактически функционирует </w:t>
            </w:r>
            <w:r w:rsidR="000F504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торговые точки.</w:t>
            </w:r>
          </w:p>
        </w:tc>
      </w:tr>
      <w:tr w:rsidR="008C7830" w:rsidTr="008C78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платных услуг населению - всего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  <w:p w:rsidR="008C7830" w:rsidRDefault="008C7830" w:rsidP="000F5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0F50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  <w:p w:rsidR="008C7830" w:rsidRDefault="008C7830" w:rsidP="000F5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0F50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  <w:p w:rsidR="008C7830" w:rsidRDefault="008C7830" w:rsidP="000F5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F504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  <w:p w:rsidR="008C7830" w:rsidRDefault="008C7830" w:rsidP="000F5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F504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Индекс физического объема платных услуг населению    </w:t>
            </w:r>
          </w:p>
        </w:tc>
      </w:tr>
      <w:tr w:rsidR="008C7830" w:rsidTr="008C78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видам: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7830" w:rsidTr="008C78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образования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  <w:p w:rsidR="008C7830" w:rsidRDefault="00EB45A3" w:rsidP="006F5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528D">
              <w:rPr>
                <w:rFonts w:ascii="Times New Roman" w:hAnsi="Times New Roman" w:cs="Times New Roman"/>
              </w:rPr>
              <w:t>1</w:t>
            </w:r>
            <w:r w:rsidR="008C78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  <w:p w:rsidR="008C7830" w:rsidRDefault="000F5044" w:rsidP="006F5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528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  <w:p w:rsidR="008C7830" w:rsidRDefault="000F5044" w:rsidP="006F5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528D">
              <w:rPr>
                <w:rFonts w:ascii="Times New Roman" w:hAnsi="Times New Roman" w:cs="Times New Roman"/>
              </w:rPr>
              <w:t>3</w:t>
            </w:r>
            <w:r w:rsidR="00EB45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44" w:rsidRDefault="000F5044">
            <w:pPr>
              <w:jc w:val="center"/>
              <w:rPr>
                <w:rFonts w:ascii="Times New Roman" w:hAnsi="Times New Roman" w:cs="Times New Roman"/>
              </w:rPr>
            </w:pPr>
          </w:p>
          <w:p w:rsidR="008C7830" w:rsidRDefault="000F5044" w:rsidP="006F5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528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услуги включают в себя родительскую плату за детские сады</w:t>
            </w:r>
          </w:p>
        </w:tc>
      </w:tr>
      <w:tr w:rsidR="008C7830" w:rsidTr="008C78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  <w:p w:rsidR="008C7830" w:rsidRDefault="008C7830" w:rsidP="006F5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F528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D" w:rsidRDefault="006F528D" w:rsidP="000F5044">
            <w:pPr>
              <w:jc w:val="center"/>
              <w:rPr>
                <w:rFonts w:ascii="Times New Roman" w:hAnsi="Times New Roman" w:cs="Times New Roman"/>
              </w:rPr>
            </w:pPr>
          </w:p>
          <w:p w:rsidR="006F528D" w:rsidRDefault="006F528D" w:rsidP="000F5044">
            <w:pPr>
              <w:jc w:val="center"/>
              <w:rPr>
                <w:rFonts w:ascii="Times New Roman" w:hAnsi="Times New Roman" w:cs="Times New Roman"/>
              </w:rPr>
            </w:pPr>
          </w:p>
          <w:p w:rsidR="008C7830" w:rsidRDefault="006F528D" w:rsidP="000F5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  <w:p w:rsidR="008C7830" w:rsidRDefault="008C7830" w:rsidP="006F5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F5044">
              <w:rPr>
                <w:rFonts w:ascii="Times New Roman" w:hAnsi="Times New Roman" w:cs="Times New Roman"/>
              </w:rPr>
              <w:t>8</w:t>
            </w:r>
            <w:r w:rsidR="006F52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  <w:p w:rsidR="008C7830" w:rsidRDefault="008C7830" w:rsidP="006F5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6F52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7830" w:rsidRDefault="008C7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другие услуги входят:</w:t>
            </w:r>
          </w:p>
          <w:p w:rsidR="008C7830" w:rsidRDefault="008C7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редакции за объявления; предоставление тракторов для вспашки огородов, вывозке дров, сена; аренда помещений</w:t>
            </w:r>
          </w:p>
        </w:tc>
      </w:tr>
    </w:tbl>
    <w:p w:rsidR="000F6138" w:rsidRDefault="000F6138" w:rsidP="008C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138" w:rsidRDefault="000F6138" w:rsidP="008C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830" w:rsidRDefault="008C7830" w:rsidP="008C78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5. Социальная сфера сельского поселения</w:t>
      </w: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>В социальной сфере сельского поселения наиболее важными задачами на 202</w:t>
      </w:r>
      <w:r w:rsidR="006F528D">
        <w:rPr>
          <w:rFonts w:ascii="Times New Roman" w:hAnsi="Times New Roman" w:cs="Times New Roman"/>
          <w:sz w:val="24"/>
          <w:szCs w:val="24"/>
        </w:rPr>
        <w:t>5</w:t>
      </w:r>
      <w:r w:rsidRPr="00EB642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6F528D">
        <w:rPr>
          <w:rFonts w:ascii="Times New Roman" w:hAnsi="Times New Roman" w:cs="Times New Roman"/>
          <w:sz w:val="24"/>
          <w:szCs w:val="24"/>
        </w:rPr>
        <w:t>6</w:t>
      </w:r>
      <w:r w:rsidRPr="00EB642F">
        <w:rPr>
          <w:rFonts w:ascii="Times New Roman" w:hAnsi="Times New Roman" w:cs="Times New Roman"/>
          <w:sz w:val="24"/>
          <w:szCs w:val="24"/>
        </w:rPr>
        <w:t xml:space="preserve"> и 202</w:t>
      </w:r>
      <w:r w:rsidR="006F528D">
        <w:rPr>
          <w:rFonts w:ascii="Times New Roman" w:hAnsi="Times New Roman" w:cs="Times New Roman"/>
          <w:sz w:val="24"/>
          <w:szCs w:val="24"/>
        </w:rPr>
        <w:t>7</w:t>
      </w:r>
      <w:r w:rsidRPr="00EB642F">
        <w:rPr>
          <w:rFonts w:ascii="Times New Roman" w:hAnsi="Times New Roman" w:cs="Times New Roman"/>
          <w:sz w:val="24"/>
          <w:szCs w:val="24"/>
        </w:rPr>
        <w:t xml:space="preserve"> годов по-прежнему останутся: сохранение и улучшение материально-технической базы, и обеспечение функционирования всех систем социальной сферы сельского поселения. По программе аварийное ветхое жильё в поселении построено всего 13 двухквартирных домов, в т.ч. в 202</w:t>
      </w:r>
      <w:r w:rsidR="006F528D">
        <w:rPr>
          <w:rFonts w:ascii="Times New Roman" w:hAnsi="Times New Roman" w:cs="Times New Roman"/>
          <w:sz w:val="24"/>
          <w:szCs w:val="24"/>
        </w:rPr>
        <w:t>4</w:t>
      </w:r>
      <w:r w:rsidRPr="00EB642F">
        <w:rPr>
          <w:rFonts w:ascii="Times New Roman" w:hAnsi="Times New Roman" w:cs="Times New Roman"/>
          <w:sz w:val="24"/>
          <w:szCs w:val="24"/>
        </w:rPr>
        <w:t xml:space="preserve"> году строительство по программе аварийное ветхое жильё не производилось</w:t>
      </w:r>
      <w:r w:rsidR="006F528D">
        <w:rPr>
          <w:rFonts w:ascii="Times New Roman" w:hAnsi="Times New Roman" w:cs="Times New Roman"/>
          <w:sz w:val="24"/>
          <w:szCs w:val="24"/>
        </w:rPr>
        <w:t xml:space="preserve">, была выплачена компенсация 4 семьям. </w:t>
      </w:r>
      <w:r w:rsidRPr="00EB642F">
        <w:rPr>
          <w:rFonts w:ascii="Times New Roman" w:hAnsi="Times New Roman" w:cs="Times New Roman"/>
          <w:sz w:val="24"/>
          <w:szCs w:val="24"/>
        </w:rPr>
        <w:t xml:space="preserve"> </w:t>
      </w:r>
      <w:r w:rsidRPr="00EB642F">
        <w:rPr>
          <w:rFonts w:ascii="Times New Roman" w:hAnsi="Times New Roman" w:cs="Times New Roman"/>
          <w:sz w:val="24"/>
          <w:szCs w:val="24"/>
        </w:rPr>
        <w:tab/>
      </w:r>
    </w:p>
    <w:p w:rsidR="008C7830" w:rsidRDefault="008C7830" w:rsidP="00EB642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 Образование</w:t>
      </w: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 На территории Чебаклинского сельского поселения имеется 2</w:t>
      </w:r>
      <w:r w:rsidR="006F52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642F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EB642F">
        <w:rPr>
          <w:rFonts w:ascii="Times New Roman" w:hAnsi="Times New Roman" w:cs="Times New Roman"/>
          <w:sz w:val="24"/>
          <w:szCs w:val="24"/>
        </w:rPr>
        <w:t xml:space="preserve"> учреждения: МБОУ Чебаклинская средняя общеобразовательная школа, и </w:t>
      </w:r>
      <w:r w:rsidR="002E01D5" w:rsidRPr="00EB642F">
        <w:rPr>
          <w:rFonts w:ascii="Times New Roman" w:hAnsi="Times New Roman" w:cs="Times New Roman"/>
          <w:sz w:val="24"/>
          <w:szCs w:val="24"/>
        </w:rPr>
        <w:t>разновозрастная группа</w:t>
      </w:r>
      <w:r w:rsidRPr="00EB642F">
        <w:rPr>
          <w:rFonts w:ascii="Times New Roman" w:hAnsi="Times New Roman" w:cs="Times New Roman"/>
          <w:sz w:val="24"/>
          <w:szCs w:val="24"/>
        </w:rPr>
        <w:t xml:space="preserve"> дошкольного образования при МБОУ </w:t>
      </w:r>
      <w:proofErr w:type="spellStart"/>
      <w:r w:rsidRPr="00EB642F">
        <w:rPr>
          <w:rFonts w:ascii="Times New Roman" w:hAnsi="Times New Roman" w:cs="Times New Roman"/>
          <w:sz w:val="24"/>
          <w:szCs w:val="24"/>
        </w:rPr>
        <w:t>Чебаклинской</w:t>
      </w:r>
      <w:proofErr w:type="spellEnd"/>
      <w:r w:rsidRPr="00EB642F">
        <w:rPr>
          <w:rFonts w:ascii="Times New Roman" w:hAnsi="Times New Roman" w:cs="Times New Roman"/>
          <w:sz w:val="24"/>
          <w:szCs w:val="24"/>
        </w:rPr>
        <w:t xml:space="preserve"> СОШ. </w:t>
      </w: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 МБОУ Чебаклинская  СОШ на 192 учащихся, фактически в школе обучается </w:t>
      </w:r>
      <w:r w:rsidR="002E01D5">
        <w:rPr>
          <w:rFonts w:ascii="Times New Roman" w:hAnsi="Times New Roman" w:cs="Times New Roman"/>
          <w:sz w:val="24"/>
          <w:szCs w:val="24"/>
        </w:rPr>
        <w:t>2</w:t>
      </w:r>
      <w:r w:rsidR="006F528D">
        <w:rPr>
          <w:rFonts w:ascii="Times New Roman" w:hAnsi="Times New Roman" w:cs="Times New Roman"/>
          <w:sz w:val="24"/>
          <w:szCs w:val="24"/>
        </w:rPr>
        <w:t>3</w:t>
      </w:r>
      <w:r w:rsidRPr="00EB642F">
        <w:rPr>
          <w:rFonts w:ascii="Times New Roman" w:hAnsi="Times New Roman" w:cs="Times New Roman"/>
          <w:sz w:val="24"/>
          <w:szCs w:val="24"/>
        </w:rPr>
        <w:t xml:space="preserve"> ребёнка, наполняемость классов – 3,7 чел. Списочная численность педагогических работников и обслуживающего персонала в 202</w:t>
      </w:r>
      <w:r w:rsidR="006F528D">
        <w:rPr>
          <w:rFonts w:ascii="Times New Roman" w:hAnsi="Times New Roman" w:cs="Times New Roman"/>
          <w:sz w:val="24"/>
          <w:szCs w:val="24"/>
        </w:rPr>
        <w:t>4</w:t>
      </w:r>
      <w:r w:rsidRPr="00EB642F">
        <w:rPr>
          <w:rFonts w:ascii="Times New Roman" w:hAnsi="Times New Roman" w:cs="Times New Roman"/>
          <w:sz w:val="24"/>
          <w:szCs w:val="24"/>
        </w:rPr>
        <w:t xml:space="preserve"> году не сокращалась.</w:t>
      </w: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 В школе имеется компьютерный класс (</w:t>
      </w:r>
      <w:r w:rsidR="002E01D5">
        <w:rPr>
          <w:rFonts w:ascii="Times New Roman" w:hAnsi="Times New Roman" w:cs="Times New Roman"/>
          <w:sz w:val="24"/>
          <w:szCs w:val="24"/>
        </w:rPr>
        <w:t>7</w:t>
      </w:r>
      <w:r w:rsidRPr="00EB642F">
        <w:rPr>
          <w:rFonts w:ascii="Times New Roman" w:hAnsi="Times New Roman" w:cs="Times New Roman"/>
          <w:sz w:val="24"/>
          <w:szCs w:val="24"/>
        </w:rPr>
        <w:t xml:space="preserve"> компьютеров для старших классов и 2 для младших) подключен интернет, имеется </w:t>
      </w:r>
      <w:r w:rsidR="002E01D5">
        <w:rPr>
          <w:rFonts w:ascii="Times New Roman" w:hAnsi="Times New Roman" w:cs="Times New Roman"/>
          <w:sz w:val="24"/>
          <w:szCs w:val="24"/>
        </w:rPr>
        <w:t>новый</w:t>
      </w:r>
      <w:r w:rsidRPr="00EB642F">
        <w:rPr>
          <w:rFonts w:ascii="Times New Roman" w:hAnsi="Times New Roman" w:cs="Times New Roman"/>
          <w:sz w:val="24"/>
          <w:szCs w:val="24"/>
        </w:rPr>
        <w:t xml:space="preserve">  школьный автобус марки Газель, имеется приусадебный участок. Материальная база школы удовлетворительная.  </w:t>
      </w:r>
    </w:p>
    <w:p w:rsidR="008C7830" w:rsidRPr="00EB642F" w:rsidRDefault="008C7830" w:rsidP="008C7830">
      <w:pPr>
        <w:pStyle w:val="a5"/>
        <w:rPr>
          <w:sz w:val="24"/>
          <w:szCs w:val="24"/>
        </w:rPr>
      </w:pPr>
      <w:r w:rsidRPr="00EB642F">
        <w:rPr>
          <w:sz w:val="24"/>
          <w:szCs w:val="24"/>
        </w:rPr>
        <w:t xml:space="preserve">      Ежедневно </w:t>
      </w:r>
      <w:r w:rsidR="002E01D5">
        <w:rPr>
          <w:sz w:val="24"/>
          <w:szCs w:val="24"/>
        </w:rPr>
        <w:t>3</w:t>
      </w:r>
      <w:r w:rsidRPr="00EB642F">
        <w:rPr>
          <w:sz w:val="24"/>
          <w:szCs w:val="24"/>
        </w:rPr>
        <w:t xml:space="preserve"> учащихся (1-11 класс) на автобусе </w:t>
      </w:r>
      <w:proofErr w:type="spellStart"/>
      <w:r w:rsidRPr="00EB642F">
        <w:rPr>
          <w:sz w:val="24"/>
          <w:szCs w:val="24"/>
        </w:rPr>
        <w:t>Чебаклинской</w:t>
      </w:r>
      <w:proofErr w:type="spellEnd"/>
      <w:r w:rsidRPr="00EB642F">
        <w:rPr>
          <w:sz w:val="24"/>
          <w:szCs w:val="24"/>
        </w:rPr>
        <w:t xml:space="preserve"> школы подвозят из </w:t>
      </w:r>
      <w:proofErr w:type="spellStart"/>
      <w:r w:rsidRPr="00EB642F">
        <w:rPr>
          <w:sz w:val="24"/>
          <w:szCs w:val="24"/>
        </w:rPr>
        <w:t>д.Чаунино</w:t>
      </w:r>
      <w:proofErr w:type="spellEnd"/>
      <w:r w:rsidRPr="00EB642F">
        <w:rPr>
          <w:sz w:val="24"/>
          <w:szCs w:val="24"/>
        </w:rPr>
        <w:t xml:space="preserve"> в с. Чебаклы в школу.</w:t>
      </w: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 Существующая система школьного образования  удовлетворяет потребность населения сельского поселения в школе и разновозрастной группой дошкольного образования.                        </w:t>
      </w:r>
    </w:p>
    <w:p w:rsidR="008C7830" w:rsidRDefault="008C7830" w:rsidP="007D60B9">
      <w:pPr>
        <w:pStyle w:val="a5"/>
      </w:pPr>
      <w:r>
        <w:t xml:space="preserve">                                            5.2. Культура.</w:t>
      </w:r>
    </w:p>
    <w:p w:rsidR="000532CE" w:rsidRDefault="000532CE" w:rsidP="008C7830">
      <w:pPr>
        <w:pStyle w:val="a5"/>
      </w:pPr>
    </w:p>
    <w:p w:rsidR="008C7830" w:rsidRPr="00EB642F" w:rsidRDefault="000F6138" w:rsidP="008C783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C7830" w:rsidRPr="00EB642F">
        <w:rPr>
          <w:sz w:val="24"/>
          <w:szCs w:val="24"/>
        </w:rPr>
        <w:t xml:space="preserve">На территории Чебаклинского сельского поселения расположено 3 учреждения культуры:  Чебаклинский СДК на 200 мест, количество штатных единиц – 2 человека,  библиотека с книжным фондом – 7463 экземпляров книг, количество читателей – 220 человек,  штатных единиц – 1 человек.  </w:t>
      </w:r>
      <w:proofErr w:type="spellStart"/>
      <w:r w:rsidR="008C7830" w:rsidRPr="00EB642F">
        <w:rPr>
          <w:sz w:val="24"/>
          <w:szCs w:val="24"/>
        </w:rPr>
        <w:t>Чаунинский</w:t>
      </w:r>
      <w:proofErr w:type="spellEnd"/>
      <w:r w:rsidR="008C7830" w:rsidRPr="00EB642F">
        <w:rPr>
          <w:sz w:val="24"/>
          <w:szCs w:val="24"/>
        </w:rPr>
        <w:t xml:space="preserve"> СК на 125 мест, штатных единиц – 1 человек. Состояние клубных учреждений – удовлетворительное. Количество клубных формирований в 202</w:t>
      </w:r>
      <w:r w:rsidR="00BF6153">
        <w:rPr>
          <w:sz w:val="24"/>
          <w:szCs w:val="24"/>
        </w:rPr>
        <w:t>3</w:t>
      </w:r>
      <w:r w:rsidR="008C7830" w:rsidRPr="00EB642F">
        <w:rPr>
          <w:sz w:val="24"/>
          <w:szCs w:val="24"/>
        </w:rPr>
        <w:t xml:space="preserve"> г. – 5, их посещало 49 чел. Оценка работы клубных формирований в 202</w:t>
      </w:r>
      <w:r w:rsidR="00BF6153">
        <w:rPr>
          <w:sz w:val="24"/>
          <w:szCs w:val="24"/>
        </w:rPr>
        <w:t xml:space="preserve">3 </w:t>
      </w:r>
      <w:r w:rsidR="002E01D5" w:rsidRPr="00EB642F">
        <w:rPr>
          <w:sz w:val="24"/>
          <w:szCs w:val="24"/>
        </w:rPr>
        <w:t>году по</w:t>
      </w:r>
      <w:r w:rsidR="008C7830" w:rsidRPr="00EB642F">
        <w:rPr>
          <w:sz w:val="24"/>
          <w:szCs w:val="24"/>
        </w:rPr>
        <w:t xml:space="preserve"> всем показателям   остаётся на уровне 20</w:t>
      </w:r>
      <w:r w:rsidR="000F5044" w:rsidRPr="00EB642F">
        <w:rPr>
          <w:sz w:val="24"/>
          <w:szCs w:val="24"/>
        </w:rPr>
        <w:t>2</w:t>
      </w:r>
      <w:r w:rsidR="00BF6153">
        <w:rPr>
          <w:sz w:val="24"/>
          <w:szCs w:val="24"/>
        </w:rPr>
        <w:t>2</w:t>
      </w:r>
      <w:r w:rsidR="008C7830" w:rsidRPr="00EB642F">
        <w:rPr>
          <w:sz w:val="24"/>
          <w:szCs w:val="24"/>
        </w:rPr>
        <w:t xml:space="preserve"> года. Прогноз на 202</w:t>
      </w:r>
      <w:r w:rsidR="00BF6153">
        <w:rPr>
          <w:sz w:val="24"/>
          <w:szCs w:val="24"/>
        </w:rPr>
        <w:t>5</w:t>
      </w:r>
      <w:r w:rsidR="008C7830" w:rsidRPr="00EB642F">
        <w:rPr>
          <w:sz w:val="24"/>
          <w:szCs w:val="24"/>
        </w:rPr>
        <w:t xml:space="preserve"> год и на плановый период 202</w:t>
      </w:r>
      <w:r w:rsidR="00BF6153">
        <w:rPr>
          <w:sz w:val="24"/>
          <w:szCs w:val="24"/>
        </w:rPr>
        <w:t>6</w:t>
      </w:r>
      <w:r w:rsidR="008C7830" w:rsidRPr="00EB642F">
        <w:rPr>
          <w:sz w:val="24"/>
          <w:szCs w:val="24"/>
        </w:rPr>
        <w:t xml:space="preserve"> и 202</w:t>
      </w:r>
      <w:r w:rsidR="00BF6153">
        <w:rPr>
          <w:sz w:val="24"/>
          <w:szCs w:val="24"/>
        </w:rPr>
        <w:t>7</w:t>
      </w:r>
      <w:r w:rsidR="008C7830" w:rsidRPr="00EB642F">
        <w:rPr>
          <w:sz w:val="24"/>
          <w:szCs w:val="24"/>
        </w:rPr>
        <w:t xml:space="preserve"> годов клубных </w:t>
      </w:r>
      <w:r w:rsidR="002E01D5" w:rsidRPr="00EB642F">
        <w:rPr>
          <w:sz w:val="24"/>
          <w:szCs w:val="24"/>
        </w:rPr>
        <w:t>формирований –</w:t>
      </w:r>
      <w:r w:rsidR="008C7830" w:rsidRPr="00EB642F">
        <w:rPr>
          <w:sz w:val="24"/>
          <w:szCs w:val="24"/>
        </w:rPr>
        <w:t>5, количество посещающих – 64 человека.</w:t>
      </w:r>
    </w:p>
    <w:p w:rsidR="008C7830" w:rsidRPr="00EB642F" w:rsidRDefault="008C7830" w:rsidP="008C7830">
      <w:pPr>
        <w:pStyle w:val="a5"/>
        <w:rPr>
          <w:sz w:val="24"/>
          <w:szCs w:val="24"/>
        </w:rPr>
      </w:pPr>
      <w:r w:rsidRPr="00EB642F">
        <w:rPr>
          <w:sz w:val="24"/>
          <w:szCs w:val="24"/>
        </w:rPr>
        <w:t xml:space="preserve">      Сумма платных услуг оказанных учреждениями культуры сельского поселения в 20</w:t>
      </w:r>
      <w:r w:rsidR="000F5044" w:rsidRPr="00EB642F">
        <w:rPr>
          <w:sz w:val="24"/>
          <w:szCs w:val="24"/>
        </w:rPr>
        <w:t>2</w:t>
      </w:r>
      <w:r w:rsidR="00BF6153">
        <w:rPr>
          <w:sz w:val="24"/>
          <w:szCs w:val="24"/>
        </w:rPr>
        <w:t>3</w:t>
      </w:r>
      <w:r w:rsidRPr="00EB642F">
        <w:rPr>
          <w:sz w:val="24"/>
          <w:szCs w:val="24"/>
        </w:rPr>
        <w:t xml:space="preserve"> году составила </w:t>
      </w:r>
      <w:r w:rsidR="00BF6153">
        <w:rPr>
          <w:sz w:val="24"/>
          <w:szCs w:val="24"/>
        </w:rPr>
        <w:t>8</w:t>
      </w:r>
      <w:r w:rsidRPr="00EB642F">
        <w:rPr>
          <w:sz w:val="24"/>
          <w:szCs w:val="24"/>
        </w:rPr>
        <w:t>,0 тыс. рублей, оценка 202</w:t>
      </w:r>
      <w:r w:rsidR="00BF6153">
        <w:rPr>
          <w:sz w:val="24"/>
          <w:szCs w:val="24"/>
        </w:rPr>
        <w:t>4</w:t>
      </w:r>
      <w:r w:rsidRPr="00EB642F">
        <w:rPr>
          <w:sz w:val="24"/>
          <w:szCs w:val="24"/>
        </w:rPr>
        <w:t xml:space="preserve"> г. – </w:t>
      </w:r>
      <w:r w:rsidR="00BF6153">
        <w:rPr>
          <w:sz w:val="24"/>
          <w:szCs w:val="24"/>
        </w:rPr>
        <w:t>9</w:t>
      </w:r>
      <w:r w:rsidRPr="00EB642F">
        <w:rPr>
          <w:sz w:val="24"/>
          <w:szCs w:val="24"/>
        </w:rPr>
        <w:t>,0 тыс. руб. и прогноз на 202</w:t>
      </w:r>
      <w:r w:rsidR="00BF6153">
        <w:rPr>
          <w:sz w:val="24"/>
          <w:szCs w:val="24"/>
        </w:rPr>
        <w:t>5</w:t>
      </w:r>
      <w:r w:rsidRPr="00EB642F">
        <w:rPr>
          <w:sz w:val="24"/>
          <w:szCs w:val="24"/>
        </w:rPr>
        <w:t xml:space="preserve"> г. – </w:t>
      </w:r>
      <w:r w:rsidR="00BF6153">
        <w:rPr>
          <w:sz w:val="24"/>
          <w:szCs w:val="24"/>
        </w:rPr>
        <w:t>10</w:t>
      </w:r>
      <w:r w:rsidRPr="00EB642F">
        <w:rPr>
          <w:sz w:val="24"/>
          <w:szCs w:val="24"/>
        </w:rPr>
        <w:t>,0 тыс. рублей; и на плановый период 202</w:t>
      </w:r>
      <w:r w:rsidR="00BF6153">
        <w:rPr>
          <w:sz w:val="24"/>
          <w:szCs w:val="24"/>
        </w:rPr>
        <w:t>6</w:t>
      </w:r>
      <w:r w:rsidRPr="00EB642F">
        <w:rPr>
          <w:sz w:val="24"/>
          <w:szCs w:val="24"/>
        </w:rPr>
        <w:t xml:space="preserve"> и 202</w:t>
      </w:r>
      <w:r w:rsidR="00BF6153">
        <w:rPr>
          <w:sz w:val="24"/>
          <w:szCs w:val="24"/>
        </w:rPr>
        <w:t>7</w:t>
      </w:r>
      <w:r w:rsidRPr="00EB642F">
        <w:rPr>
          <w:sz w:val="24"/>
          <w:szCs w:val="24"/>
        </w:rPr>
        <w:t xml:space="preserve"> годов – </w:t>
      </w:r>
      <w:r w:rsidR="00BF6153">
        <w:rPr>
          <w:sz w:val="24"/>
          <w:szCs w:val="24"/>
        </w:rPr>
        <w:t>10</w:t>
      </w:r>
      <w:r w:rsidRPr="00EB642F">
        <w:rPr>
          <w:sz w:val="24"/>
          <w:szCs w:val="24"/>
        </w:rPr>
        <w:t xml:space="preserve">,0 тыс. рублей и </w:t>
      </w:r>
      <w:r w:rsidR="00BF6153">
        <w:rPr>
          <w:sz w:val="24"/>
          <w:szCs w:val="24"/>
        </w:rPr>
        <w:t>10</w:t>
      </w:r>
      <w:r w:rsidRPr="00EB642F">
        <w:rPr>
          <w:sz w:val="24"/>
          <w:szCs w:val="24"/>
        </w:rPr>
        <w:t>,0 тыс. рублей соответственно.</w:t>
      </w:r>
    </w:p>
    <w:p w:rsidR="008C7830" w:rsidRPr="00EB642F" w:rsidRDefault="008C7830" w:rsidP="008C7830">
      <w:pPr>
        <w:pStyle w:val="a5"/>
        <w:rPr>
          <w:sz w:val="24"/>
          <w:szCs w:val="24"/>
        </w:rPr>
      </w:pPr>
      <w:r w:rsidRPr="00EB642F">
        <w:rPr>
          <w:sz w:val="24"/>
          <w:szCs w:val="24"/>
        </w:rPr>
        <w:t xml:space="preserve">     Основными направлениями в деятельности учреждений культуры поселения следующее:</w:t>
      </w:r>
    </w:p>
    <w:p w:rsidR="008C7830" w:rsidRPr="00EB642F" w:rsidRDefault="008C7830" w:rsidP="008C7830">
      <w:pPr>
        <w:pStyle w:val="a5"/>
        <w:rPr>
          <w:sz w:val="24"/>
          <w:szCs w:val="24"/>
        </w:rPr>
      </w:pPr>
      <w:r w:rsidRPr="00EB642F">
        <w:rPr>
          <w:sz w:val="24"/>
          <w:szCs w:val="24"/>
        </w:rPr>
        <w:t>- сохранение духовных и культурно-исторических ценностей;</w:t>
      </w:r>
    </w:p>
    <w:p w:rsidR="008C7830" w:rsidRPr="00EB642F" w:rsidRDefault="008C7830" w:rsidP="008C7830">
      <w:pPr>
        <w:pStyle w:val="a5"/>
        <w:rPr>
          <w:sz w:val="24"/>
          <w:szCs w:val="24"/>
        </w:rPr>
      </w:pPr>
      <w:r w:rsidRPr="00EB642F">
        <w:rPr>
          <w:sz w:val="24"/>
          <w:szCs w:val="24"/>
        </w:rPr>
        <w:t>- обеспечение реального доступа населения к ним;</w:t>
      </w: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-совершенствование культурной жизни сельского поселения.    </w:t>
      </w:r>
    </w:p>
    <w:p w:rsidR="008C7830" w:rsidRDefault="008C7830" w:rsidP="000F613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5.3. Здравоохранение.</w:t>
      </w:r>
    </w:p>
    <w:p w:rsidR="008C7830" w:rsidRPr="00EB642F" w:rsidRDefault="000F6138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7830" w:rsidRPr="00EB642F">
        <w:rPr>
          <w:rFonts w:ascii="Times New Roman" w:hAnsi="Times New Roman" w:cs="Times New Roman"/>
          <w:sz w:val="24"/>
          <w:szCs w:val="24"/>
        </w:rPr>
        <w:t xml:space="preserve">Сеть учреждений здравоохранения Чебаклинского сельского поселения состоит из 2-х </w:t>
      </w:r>
      <w:proofErr w:type="spellStart"/>
      <w:r w:rsidR="008C7830" w:rsidRPr="00EB642F">
        <w:rPr>
          <w:rFonts w:ascii="Times New Roman" w:hAnsi="Times New Roman" w:cs="Times New Roman"/>
          <w:sz w:val="24"/>
          <w:szCs w:val="24"/>
        </w:rPr>
        <w:t>ФАПов</w:t>
      </w:r>
      <w:proofErr w:type="spellEnd"/>
      <w:r w:rsidR="008C7830" w:rsidRPr="00EB642F">
        <w:rPr>
          <w:rFonts w:ascii="Times New Roman" w:hAnsi="Times New Roman" w:cs="Times New Roman"/>
          <w:sz w:val="24"/>
          <w:szCs w:val="24"/>
        </w:rPr>
        <w:t xml:space="preserve"> на 50 посещений в смену, в них работ</w:t>
      </w:r>
      <w:r w:rsidR="000F5044" w:rsidRPr="00EB642F">
        <w:rPr>
          <w:rFonts w:ascii="Times New Roman" w:hAnsi="Times New Roman" w:cs="Times New Roman"/>
          <w:sz w:val="24"/>
          <w:szCs w:val="24"/>
        </w:rPr>
        <w:t>ает 1</w:t>
      </w:r>
      <w:r w:rsidR="008C7830" w:rsidRPr="00EB642F">
        <w:rPr>
          <w:rFonts w:ascii="Times New Roman" w:hAnsi="Times New Roman" w:cs="Times New Roman"/>
          <w:sz w:val="24"/>
          <w:szCs w:val="24"/>
        </w:rPr>
        <w:t xml:space="preserve"> человек, посещений в год – 2</w:t>
      </w:r>
      <w:r w:rsidR="00BF6153">
        <w:rPr>
          <w:rFonts w:ascii="Times New Roman" w:hAnsi="Times New Roman" w:cs="Times New Roman"/>
          <w:sz w:val="24"/>
          <w:szCs w:val="24"/>
        </w:rPr>
        <w:t>5</w:t>
      </w:r>
      <w:r w:rsidR="008C7830" w:rsidRPr="00EB642F">
        <w:rPr>
          <w:rFonts w:ascii="Times New Roman" w:hAnsi="Times New Roman" w:cs="Times New Roman"/>
          <w:sz w:val="24"/>
          <w:szCs w:val="24"/>
        </w:rPr>
        <w:t>00. Материальная база удовлетворительная.</w:t>
      </w:r>
    </w:p>
    <w:p w:rsidR="008C7830" w:rsidRDefault="008C7830" w:rsidP="000532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5.4. Социальная защита</w:t>
      </w: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Стратегической целью социальной защиты населения сельского поселения является обеспечение достойного жизненного уровня населения, стабильности и социальной безопасности.</w:t>
      </w: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  Оказание государственной социальной помощи – один из основных инструментов проведения эффективной социальной политики муниципальной власти. В основу деятельности органов социальной защиты населения по социальной поддержке малоимущих граждан положен принцип адресной направленности.</w:t>
      </w:r>
    </w:p>
    <w:p w:rsidR="008C7830" w:rsidRPr="00EB642F" w:rsidRDefault="000F6138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7830" w:rsidRPr="00EB642F">
        <w:rPr>
          <w:rFonts w:ascii="Times New Roman" w:hAnsi="Times New Roman" w:cs="Times New Roman"/>
          <w:sz w:val="24"/>
          <w:szCs w:val="24"/>
        </w:rPr>
        <w:t>Количество  получателей, подтвердивших право на получение ежемесячного государственного пособия на детей, составило 4</w:t>
      </w:r>
      <w:r w:rsidR="002E01D5">
        <w:rPr>
          <w:rFonts w:ascii="Times New Roman" w:hAnsi="Times New Roman" w:cs="Times New Roman"/>
          <w:sz w:val="24"/>
          <w:szCs w:val="24"/>
        </w:rPr>
        <w:t>3</w:t>
      </w:r>
      <w:r w:rsidR="008C7830" w:rsidRPr="00EB642F">
        <w:rPr>
          <w:rFonts w:ascii="Times New Roman" w:hAnsi="Times New Roman" w:cs="Times New Roman"/>
          <w:sz w:val="24"/>
          <w:szCs w:val="24"/>
        </w:rPr>
        <w:t xml:space="preserve"> семей. В настоящее время детское пособие выплачивается ежемесячно, задолженности по выплатам нет.                                                                                                   </w:t>
      </w:r>
    </w:p>
    <w:p w:rsidR="008C7830" w:rsidRPr="00EB642F" w:rsidRDefault="008C7830" w:rsidP="008C7830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  Количество пенсионеров по сельскому поселению – </w:t>
      </w:r>
      <w:r w:rsidR="002E01D5">
        <w:rPr>
          <w:rFonts w:ascii="Times New Roman" w:hAnsi="Times New Roman" w:cs="Times New Roman"/>
          <w:sz w:val="24"/>
          <w:szCs w:val="24"/>
        </w:rPr>
        <w:t>8</w:t>
      </w:r>
      <w:r w:rsidR="00BF6153">
        <w:rPr>
          <w:rFonts w:ascii="Times New Roman" w:hAnsi="Times New Roman" w:cs="Times New Roman"/>
          <w:sz w:val="24"/>
          <w:szCs w:val="24"/>
        </w:rPr>
        <w:t xml:space="preserve">1 </w:t>
      </w:r>
      <w:r w:rsidRPr="00EB642F">
        <w:rPr>
          <w:rFonts w:ascii="Times New Roman" w:hAnsi="Times New Roman" w:cs="Times New Roman"/>
          <w:sz w:val="24"/>
          <w:szCs w:val="24"/>
        </w:rPr>
        <w:t xml:space="preserve">человек,  инвалидов – </w:t>
      </w:r>
      <w:r w:rsidR="000F5044" w:rsidRPr="00EB642F">
        <w:rPr>
          <w:rFonts w:ascii="Times New Roman" w:hAnsi="Times New Roman" w:cs="Times New Roman"/>
          <w:sz w:val="24"/>
          <w:szCs w:val="24"/>
        </w:rPr>
        <w:t>19</w:t>
      </w:r>
      <w:r w:rsidRPr="00EB642F">
        <w:rPr>
          <w:rFonts w:ascii="Times New Roman" w:hAnsi="Times New Roman" w:cs="Times New Roman"/>
          <w:sz w:val="24"/>
          <w:szCs w:val="24"/>
        </w:rPr>
        <w:t xml:space="preserve"> человек, тружеников тыла – </w:t>
      </w:r>
      <w:r w:rsidR="002E01D5">
        <w:rPr>
          <w:rFonts w:ascii="Times New Roman" w:hAnsi="Times New Roman" w:cs="Times New Roman"/>
          <w:sz w:val="24"/>
          <w:szCs w:val="24"/>
        </w:rPr>
        <w:t>4</w:t>
      </w:r>
      <w:r w:rsidRPr="00EB642F">
        <w:rPr>
          <w:rFonts w:ascii="Times New Roman" w:hAnsi="Times New Roman" w:cs="Times New Roman"/>
          <w:sz w:val="24"/>
          <w:szCs w:val="24"/>
        </w:rPr>
        <w:t xml:space="preserve"> человек,  ветеранов труда – 32 человек, многодетных семей – </w:t>
      </w:r>
      <w:r w:rsidR="00BF6153">
        <w:rPr>
          <w:rFonts w:ascii="Times New Roman" w:hAnsi="Times New Roman" w:cs="Times New Roman"/>
          <w:sz w:val="24"/>
          <w:szCs w:val="24"/>
        </w:rPr>
        <w:t>2</w:t>
      </w:r>
      <w:r w:rsidRPr="00EB642F">
        <w:rPr>
          <w:rFonts w:ascii="Times New Roman" w:hAnsi="Times New Roman" w:cs="Times New Roman"/>
          <w:sz w:val="24"/>
          <w:szCs w:val="24"/>
        </w:rPr>
        <w:t xml:space="preserve">.                       </w:t>
      </w:r>
    </w:p>
    <w:p w:rsidR="008C7830" w:rsidRPr="00EB642F" w:rsidRDefault="008C7830" w:rsidP="008C7830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   По прежнему самой востребованной формой социального обслуживания остаётся - обслуживание на дому.  По состоянию на 01.10.202</w:t>
      </w:r>
      <w:r w:rsidR="00BF6153">
        <w:rPr>
          <w:rFonts w:ascii="Times New Roman" w:hAnsi="Times New Roman" w:cs="Times New Roman"/>
          <w:sz w:val="24"/>
          <w:szCs w:val="24"/>
        </w:rPr>
        <w:t>4</w:t>
      </w:r>
      <w:r w:rsidRPr="00EB642F">
        <w:rPr>
          <w:rFonts w:ascii="Times New Roman" w:hAnsi="Times New Roman" w:cs="Times New Roman"/>
          <w:sz w:val="24"/>
          <w:szCs w:val="24"/>
        </w:rPr>
        <w:t xml:space="preserve"> г. обслуживается на дому </w:t>
      </w:r>
      <w:r w:rsidR="00BF6153">
        <w:rPr>
          <w:rFonts w:ascii="Times New Roman" w:hAnsi="Times New Roman" w:cs="Times New Roman"/>
          <w:sz w:val="24"/>
          <w:szCs w:val="24"/>
        </w:rPr>
        <w:t>9</w:t>
      </w:r>
      <w:r w:rsidRPr="00EB642F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8C7830" w:rsidRPr="00EB642F" w:rsidRDefault="008C7830" w:rsidP="008C7830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   В условиях устойчивого старения, самостоятельно обслуживать себя является проблемой. Поэтому ежегодно наблюдается увеличение количества обслуживаемых на дому.</w:t>
      </w:r>
    </w:p>
    <w:p w:rsidR="008C7830" w:rsidRPr="00EB642F" w:rsidRDefault="008C7830" w:rsidP="008C783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>В 202</w:t>
      </w:r>
      <w:r w:rsidR="00BF6153">
        <w:rPr>
          <w:rFonts w:ascii="Times New Roman" w:hAnsi="Times New Roman" w:cs="Times New Roman"/>
          <w:sz w:val="24"/>
          <w:szCs w:val="24"/>
        </w:rPr>
        <w:t>4</w:t>
      </w:r>
      <w:r w:rsidRPr="00EB642F">
        <w:rPr>
          <w:rFonts w:ascii="Times New Roman" w:hAnsi="Times New Roman" w:cs="Times New Roman"/>
          <w:sz w:val="24"/>
          <w:szCs w:val="24"/>
        </w:rPr>
        <w:t xml:space="preserve"> году по </w:t>
      </w:r>
      <w:proofErr w:type="spellStart"/>
      <w:r w:rsidRPr="00EB642F">
        <w:rPr>
          <w:rFonts w:ascii="Times New Roman" w:hAnsi="Times New Roman" w:cs="Times New Roman"/>
          <w:sz w:val="24"/>
          <w:szCs w:val="24"/>
        </w:rPr>
        <w:t>Чебаклинскому</w:t>
      </w:r>
      <w:proofErr w:type="spellEnd"/>
      <w:r w:rsidRPr="00EB642F">
        <w:rPr>
          <w:rFonts w:ascii="Times New Roman" w:hAnsi="Times New Roman" w:cs="Times New Roman"/>
          <w:sz w:val="24"/>
          <w:szCs w:val="24"/>
        </w:rPr>
        <w:t xml:space="preserve"> сельскому поселению 90 семей  получили субсидии на твердое топливо, оплату жилья и коммунальные услуги. </w:t>
      </w:r>
    </w:p>
    <w:p w:rsidR="008C7830" w:rsidRPr="00EB642F" w:rsidRDefault="008C7830" w:rsidP="008C7830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   Анализируя данные по предоставлению жилищных субсидий в сельском поселении, можно наблюдать тенденцию к увеличению числа семей, воспользовавшихся своим правом на жилищную субсидию. Рост числа семей, обратившихся за назначением субсидии, связан с повышением тарифов на жилищно-коммунальные услуги, с работой центра по информированию населения по вопросам предоставления жилищных субсидий, а так же в связи с решением вопроса  по предоставлению субсидий на твердое топливо.  </w:t>
      </w:r>
    </w:p>
    <w:p w:rsidR="008C7830" w:rsidRDefault="008C7830" w:rsidP="000F61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6. Денежные доходы и расходы населения</w:t>
      </w:r>
    </w:p>
    <w:p w:rsidR="008C7830" w:rsidRPr="00EB642F" w:rsidRDefault="000F6138" w:rsidP="008C7830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7830" w:rsidRPr="00EB642F">
        <w:rPr>
          <w:rFonts w:ascii="Times New Roman" w:hAnsi="Times New Roman" w:cs="Times New Roman"/>
          <w:sz w:val="24"/>
          <w:szCs w:val="24"/>
        </w:rPr>
        <w:t>Среднемесячная заработная плата работников социальной сферы и аппарата управления за 202</w:t>
      </w:r>
      <w:r w:rsidR="00BF6153">
        <w:rPr>
          <w:rFonts w:ascii="Times New Roman" w:hAnsi="Times New Roman" w:cs="Times New Roman"/>
          <w:sz w:val="24"/>
          <w:szCs w:val="24"/>
        </w:rPr>
        <w:t>3</w:t>
      </w:r>
      <w:r w:rsidR="008C7830" w:rsidRPr="00EB642F">
        <w:rPr>
          <w:rFonts w:ascii="Times New Roman" w:hAnsi="Times New Roman" w:cs="Times New Roman"/>
          <w:sz w:val="24"/>
          <w:szCs w:val="24"/>
        </w:rPr>
        <w:t xml:space="preserve"> год составила 93</w:t>
      </w:r>
      <w:r w:rsidR="002E01D5">
        <w:rPr>
          <w:rFonts w:ascii="Times New Roman" w:hAnsi="Times New Roman" w:cs="Times New Roman"/>
          <w:sz w:val="24"/>
          <w:szCs w:val="24"/>
        </w:rPr>
        <w:t>30</w:t>
      </w:r>
      <w:r w:rsidR="008C7830" w:rsidRPr="00EB642F">
        <w:rPr>
          <w:rFonts w:ascii="Times New Roman" w:hAnsi="Times New Roman" w:cs="Times New Roman"/>
          <w:sz w:val="24"/>
          <w:szCs w:val="24"/>
        </w:rPr>
        <w:t xml:space="preserve"> рублей, по состоянию на 1 апреля 202</w:t>
      </w:r>
      <w:r w:rsidR="00BF6153">
        <w:rPr>
          <w:rFonts w:ascii="Times New Roman" w:hAnsi="Times New Roman" w:cs="Times New Roman"/>
          <w:sz w:val="24"/>
          <w:szCs w:val="24"/>
        </w:rPr>
        <w:t>4</w:t>
      </w:r>
      <w:r w:rsidR="008C7830" w:rsidRPr="00EB642F">
        <w:rPr>
          <w:rFonts w:ascii="Times New Roman" w:hAnsi="Times New Roman" w:cs="Times New Roman"/>
          <w:sz w:val="24"/>
          <w:szCs w:val="24"/>
        </w:rPr>
        <w:t xml:space="preserve"> года она составила – 93</w:t>
      </w:r>
      <w:r w:rsidR="002E01D5">
        <w:rPr>
          <w:rFonts w:ascii="Times New Roman" w:hAnsi="Times New Roman" w:cs="Times New Roman"/>
          <w:sz w:val="24"/>
          <w:szCs w:val="24"/>
        </w:rPr>
        <w:t>5</w:t>
      </w:r>
      <w:r w:rsidR="008C7830" w:rsidRPr="00EB642F">
        <w:rPr>
          <w:rFonts w:ascii="Times New Roman" w:hAnsi="Times New Roman" w:cs="Times New Roman"/>
          <w:sz w:val="24"/>
          <w:szCs w:val="24"/>
        </w:rPr>
        <w:t>0 рублей (100 % к 20</w:t>
      </w:r>
      <w:r w:rsidR="000F5044" w:rsidRPr="00EB642F">
        <w:rPr>
          <w:rFonts w:ascii="Times New Roman" w:hAnsi="Times New Roman" w:cs="Times New Roman"/>
          <w:sz w:val="24"/>
          <w:szCs w:val="24"/>
        </w:rPr>
        <w:t>2</w:t>
      </w:r>
      <w:r w:rsidR="00BF6153">
        <w:rPr>
          <w:rFonts w:ascii="Times New Roman" w:hAnsi="Times New Roman" w:cs="Times New Roman"/>
          <w:sz w:val="24"/>
          <w:szCs w:val="24"/>
        </w:rPr>
        <w:t>4</w:t>
      </w:r>
      <w:r w:rsidR="008C7830" w:rsidRPr="00EB642F">
        <w:rPr>
          <w:rFonts w:ascii="Times New Roman" w:hAnsi="Times New Roman" w:cs="Times New Roman"/>
          <w:sz w:val="24"/>
          <w:szCs w:val="24"/>
        </w:rPr>
        <w:t xml:space="preserve"> году).                             </w:t>
      </w:r>
    </w:p>
    <w:p w:rsidR="008C7830" w:rsidRPr="00EB642F" w:rsidRDefault="008C7830" w:rsidP="008C7830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  Число организаций, имеющих просроченную задолженность по заработной плате на 1 января 202</w:t>
      </w:r>
      <w:r w:rsidR="00BF6153">
        <w:rPr>
          <w:rFonts w:ascii="Times New Roman" w:hAnsi="Times New Roman" w:cs="Times New Roman"/>
          <w:sz w:val="24"/>
          <w:szCs w:val="24"/>
        </w:rPr>
        <w:t>4</w:t>
      </w:r>
      <w:r w:rsidRPr="00EB642F">
        <w:rPr>
          <w:rFonts w:ascii="Times New Roman" w:hAnsi="Times New Roman" w:cs="Times New Roman"/>
          <w:sz w:val="24"/>
          <w:szCs w:val="24"/>
        </w:rPr>
        <w:t xml:space="preserve"> года – нет. </w:t>
      </w:r>
    </w:p>
    <w:p w:rsidR="008C7830" w:rsidRPr="00EB642F" w:rsidRDefault="008C7830" w:rsidP="008C7830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lastRenderedPageBreak/>
        <w:t>Средняя месячная пенсия с учетом компенсационных выплат   на 1 января 202</w:t>
      </w:r>
      <w:r w:rsidR="00BF6153">
        <w:rPr>
          <w:rFonts w:ascii="Times New Roman" w:hAnsi="Times New Roman" w:cs="Times New Roman"/>
          <w:sz w:val="24"/>
          <w:szCs w:val="24"/>
        </w:rPr>
        <w:t>4</w:t>
      </w:r>
      <w:r w:rsidRPr="00EB642F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0F5044" w:rsidRPr="00EB642F">
        <w:rPr>
          <w:rFonts w:ascii="Times New Roman" w:hAnsi="Times New Roman" w:cs="Times New Roman"/>
          <w:sz w:val="24"/>
          <w:szCs w:val="24"/>
        </w:rPr>
        <w:t>1200</w:t>
      </w:r>
      <w:r w:rsidRPr="00EB642F">
        <w:rPr>
          <w:rFonts w:ascii="Times New Roman" w:hAnsi="Times New Roman" w:cs="Times New Roman"/>
          <w:sz w:val="24"/>
          <w:szCs w:val="24"/>
        </w:rPr>
        <w:t>0 руб.  Средний размер трудовой пенсии на 202</w:t>
      </w:r>
      <w:r w:rsidR="00BF6153">
        <w:rPr>
          <w:rFonts w:ascii="Times New Roman" w:hAnsi="Times New Roman" w:cs="Times New Roman"/>
          <w:sz w:val="24"/>
          <w:szCs w:val="24"/>
        </w:rPr>
        <w:t>5</w:t>
      </w:r>
      <w:r w:rsidRPr="00EB642F">
        <w:rPr>
          <w:rFonts w:ascii="Times New Roman" w:hAnsi="Times New Roman" w:cs="Times New Roman"/>
          <w:sz w:val="24"/>
          <w:szCs w:val="24"/>
        </w:rPr>
        <w:t xml:space="preserve"> год прогнозируется – </w:t>
      </w:r>
      <w:r w:rsidR="000F5044" w:rsidRPr="00EB642F">
        <w:rPr>
          <w:rFonts w:ascii="Times New Roman" w:hAnsi="Times New Roman" w:cs="Times New Roman"/>
          <w:sz w:val="24"/>
          <w:szCs w:val="24"/>
        </w:rPr>
        <w:t>15</w:t>
      </w:r>
      <w:r w:rsidRPr="00EB642F">
        <w:rPr>
          <w:rFonts w:ascii="Times New Roman" w:hAnsi="Times New Roman" w:cs="Times New Roman"/>
          <w:sz w:val="24"/>
          <w:szCs w:val="24"/>
        </w:rPr>
        <w:t>000 рублей, на 202</w:t>
      </w:r>
      <w:r w:rsidR="00BF6153">
        <w:rPr>
          <w:rFonts w:ascii="Times New Roman" w:hAnsi="Times New Roman" w:cs="Times New Roman"/>
          <w:sz w:val="24"/>
          <w:szCs w:val="24"/>
        </w:rPr>
        <w:t>6</w:t>
      </w:r>
      <w:r w:rsidRPr="00EB642F">
        <w:rPr>
          <w:rFonts w:ascii="Times New Roman" w:hAnsi="Times New Roman" w:cs="Times New Roman"/>
          <w:sz w:val="24"/>
          <w:szCs w:val="24"/>
        </w:rPr>
        <w:t xml:space="preserve"> год прогнозируется 1</w:t>
      </w:r>
      <w:r w:rsidR="000F5044" w:rsidRPr="00EB642F">
        <w:rPr>
          <w:rFonts w:ascii="Times New Roman" w:hAnsi="Times New Roman" w:cs="Times New Roman"/>
          <w:sz w:val="24"/>
          <w:szCs w:val="24"/>
        </w:rPr>
        <w:t>6</w:t>
      </w:r>
      <w:r w:rsidRPr="00EB642F">
        <w:rPr>
          <w:rFonts w:ascii="Times New Roman" w:hAnsi="Times New Roman" w:cs="Times New Roman"/>
          <w:sz w:val="24"/>
          <w:szCs w:val="24"/>
        </w:rPr>
        <w:t>000 рублей и на 202</w:t>
      </w:r>
      <w:r w:rsidR="00BF6153">
        <w:rPr>
          <w:rFonts w:ascii="Times New Roman" w:hAnsi="Times New Roman" w:cs="Times New Roman"/>
          <w:sz w:val="24"/>
          <w:szCs w:val="24"/>
        </w:rPr>
        <w:t>7</w:t>
      </w:r>
      <w:r w:rsidRPr="00EB642F">
        <w:rPr>
          <w:rFonts w:ascii="Times New Roman" w:hAnsi="Times New Roman" w:cs="Times New Roman"/>
          <w:sz w:val="24"/>
          <w:szCs w:val="24"/>
        </w:rPr>
        <w:t xml:space="preserve"> год прогнозируется 1</w:t>
      </w:r>
      <w:r w:rsidR="000F5044" w:rsidRPr="00EB642F">
        <w:rPr>
          <w:rFonts w:ascii="Times New Roman" w:hAnsi="Times New Roman" w:cs="Times New Roman"/>
          <w:sz w:val="24"/>
          <w:szCs w:val="24"/>
        </w:rPr>
        <w:t>7</w:t>
      </w:r>
      <w:r w:rsidRPr="00EB642F">
        <w:rPr>
          <w:rFonts w:ascii="Times New Roman" w:hAnsi="Times New Roman" w:cs="Times New Roman"/>
          <w:sz w:val="24"/>
          <w:szCs w:val="24"/>
        </w:rPr>
        <w:t>000 рублей.</w:t>
      </w:r>
    </w:p>
    <w:p w:rsidR="008C7830" w:rsidRPr="00EB642F" w:rsidRDefault="008C7830" w:rsidP="008C7830">
      <w:pPr>
        <w:pStyle w:val="a5"/>
        <w:tabs>
          <w:tab w:val="left" w:pos="540"/>
        </w:tabs>
        <w:rPr>
          <w:sz w:val="24"/>
          <w:szCs w:val="24"/>
        </w:rPr>
      </w:pPr>
      <w:r w:rsidRPr="00EB642F">
        <w:rPr>
          <w:sz w:val="24"/>
          <w:szCs w:val="24"/>
        </w:rPr>
        <w:t xml:space="preserve">       Структура денежных доходов населения в 202</w:t>
      </w:r>
      <w:r w:rsidR="00BF6153">
        <w:rPr>
          <w:sz w:val="24"/>
          <w:szCs w:val="24"/>
        </w:rPr>
        <w:t>4</w:t>
      </w:r>
      <w:r w:rsidRPr="00EB642F">
        <w:rPr>
          <w:sz w:val="24"/>
          <w:szCs w:val="24"/>
        </w:rPr>
        <w:t xml:space="preserve"> году существенно изменится: 85 – 90 % денежных доходов будет использовано населением на потребительские расходы, все услуги подорожали в течени</w:t>
      </w:r>
      <w:proofErr w:type="gramStart"/>
      <w:r w:rsidRPr="00EB642F">
        <w:rPr>
          <w:sz w:val="24"/>
          <w:szCs w:val="24"/>
        </w:rPr>
        <w:t>и</w:t>
      </w:r>
      <w:proofErr w:type="gramEnd"/>
      <w:r w:rsidRPr="00EB642F">
        <w:rPr>
          <w:sz w:val="24"/>
          <w:szCs w:val="24"/>
        </w:rPr>
        <w:t xml:space="preserve"> года, цены на продукты постоянно увеличиваются.</w:t>
      </w:r>
    </w:p>
    <w:p w:rsidR="000532CE" w:rsidRDefault="000532CE" w:rsidP="008C7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830" w:rsidRDefault="008C7830" w:rsidP="008C78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7. Рынок труда муниципального образования</w:t>
      </w:r>
    </w:p>
    <w:p w:rsidR="008C7830" w:rsidRPr="00EB642F" w:rsidRDefault="000F6138" w:rsidP="008C7830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7830" w:rsidRPr="00EB642F">
        <w:rPr>
          <w:rFonts w:ascii="Times New Roman" w:hAnsi="Times New Roman" w:cs="Times New Roman"/>
          <w:sz w:val="24"/>
          <w:szCs w:val="24"/>
        </w:rPr>
        <w:t>В 202</w:t>
      </w:r>
      <w:r w:rsidR="00BF6153">
        <w:rPr>
          <w:rFonts w:ascii="Times New Roman" w:hAnsi="Times New Roman" w:cs="Times New Roman"/>
          <w:sz w:val="24"/>
          <w:szCs w:val="24"/>
        </w:rPr>
        <w:t>5</w:t>
      </w:r>
      <w:r w:rsidR="008C7830" w:rsidRPr="00EB642F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BF6153">
        <w:rPr>
          <w:rFonts w:ascii="Times New Roman" w:hAnsi="Times New Roman" w:cs="Times New Roman"/>
          <w:sz w:val="24"/>
          <w:szCs w:val="24"/>
        </w:rPr>
        <w:t>6</w:t>
      </w:r>
      <w:r w:rsidR="008C7830" w:rsidRPr="00EB642F">
        <w:rPr>
          <w:rFonts w:ascii="Times New Roman" w:hAnsi="Times New Roman" w:cs="Times New Roman"/>
          <w:sz w:val="24"/>
          <w:szCs w:val="24"/>
        </w:rPr>
        <w:t xml:space="preserve"> и 202</w:t>
      </w:r>
      <w:r w:rsidR="00BF6153">
        <w:rPr>
          <w:rFonts w:ascii="Times New Roman" w:hAnsi="Times New Roman" w:cs="Times New Roman"/>
          <w:sz w:val="24"/>
          <w:szCs w:val="24"/>
        </w:rPr>
        <w:t>7</w:t>
      </w:r>
      <w:r w:rsidR="008C7830" w:rsidRPr="00EB642F">
        <w:rPr>
          <w:rFonts w:ascii="Times New Roman" w:hAnsi="Times New Roman" w:cs="Times New Roman"/>
          <w:sz w:val="24"/>
          <w:szCs w:val="24"/>
        </w:rPr>
        <w:t xml:space="preserve"> годов, как и в предыдущие годы одной из основных проблем населения сельского поселения будет оставаться безработица. В 202</w:t>
      </w:r>
      <w:r w:rsidR="00BF6153">
        <w:rPr>
          <w:rFonts w:ascii="Times New Roman" w:hAnsi="Times New Roman" w:cs="Times New Roman"/>
          <w:sz w:val="24"/>
          <w:szCs w:val="24"/>
        </w:rPr>
        <w:t>3</w:t>
      </w:r>
      <w:r w:rsidR="008C7830" w:rsidRPr="00EB642F">
        <w:rPr>
          <w:rFonts w:ascii="Times New Roman" w:hAnsi="Times New Roman" w:cs="Times New Roman"/>
          <w:sz w:val="24"/>
          <w:szCs w:val="24"/>
        </w:rPr>
        <w:t xml:space="preserve"> году из </w:t>
      </w:r>
      <w:r w:rsidR="002E01D5">
        <w:rPr>
          <w:rFonts w:ascii="Times New Roman" w:hAnsi="Times New Roman" w:cs="Times New Roman"/>
          <w:sz w:val="24"/>
          <w:szCs w:val="24"/>
        </w:rPr>
        <w:t>280</w:t>
      </w:r>
      <w:r w:rsidR="008C7830" w:rsidRPr="00EB642F">
        <w:rPr>
          <w:rFonts w:ascii="Times New Roman" w:hAnsi="Times New Roman" w:cs="Times New Roman"/>
          <w:sz w:val="24"/>
          <w:szCs w:val="24"/>
        </w:rPr>
        <w:t xml:space="preserve"> человек экономически активного населения в экономике </w:t>
      </w:r>
      <w:r w:rsidR="002E01D5">
        <w:rPr>
          <w:rFonts w:ascii="Times New Roman" w:hAnsi="Times New Roman" w:cs="Times New Roman"/>
          <w:sz w:val="24"/>
          <w:szCs w:val="24"/>
        </w:rPr>
        <w:t>было занято 1</w:t>
      </w:r>
      <w:r w:rsidR="008C7830" w:rsidRPr="00EB642F">
        <w:rPr>
          <w:rFonts w:ascii="Times New Roman" w:hAnsi="Times New Roman" w:cs="Times New Roman"/>
          <w:sz w:val="24"/>
          <w:szCs w:val="24"/>
        </w:rPr>
        <w:t>03 человека. Уровень общей безработицы к экономически активному населению составляет 39,7 %, уровень регистрируемой безработицы составит 2 %.</w:t>
      </w:r>
    </w:p>
    <w:p w:rsidR="008C7830" w:rsidRDefault="008C7830" w:rsidP="008C78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(человек)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980"/>
        <w:gridCol w:w="1620"/>
        <w:gridCol w:w="1620"/>
        <w:gridCol w:w="1440"/>
        <w:gridCol w:w="1823"/>
      </w:tblGrid>
      <w:tr w:rsidR="008C7830" w:rsidTr="000532C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постоянного населения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трудоспособного населения в трудоспособном возрасте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занятых в экономике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незанятого населения      (всего)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зарегистри-рованных</w:t>
            </w:r>
            <w:proofErr w:type="spellEnd"/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безработицы общей/</w:t>
            </w:r>
            <w:proofErr w:type="spellStart"/>
            <w:r>
              <w:rPr>
                <w:rFonts w:ascii="Times New Roman" w:hAnsi="Times New Roman" w:cs="Times New Roman"/>
              </w:rPr>
              <w:t>зарегист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8C7830" w:rsidTr="000532C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 w:rsidP="00BF6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E01D5">
              <w:rPr>
                <w:rFonts w:ascii="Times New Roman" w:hAnsi="Times New Roman" w:cs="Times New Roman"/>
              </w:rPr>
              <w:t>1</w:t>
            </w:r>
            <w:r w:rsidR="00BF61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 w:rsidP="00715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615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 w:rsidP="00715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F61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61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BF6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</w:tr>
    </w:tbl>
    <w:p w:rsidR="008C7830" w:rsidRDefault="008C7830" w:rsidP="008C7830">
      <w:pPr>
        <w:jc w:val="both"/>
        <w:rPr>
          <w:rFonts w:ascii="Times New Roman" w:hAnsi="Times New Roman" w:cs="Times New Roman"/>
          <w:sz w:val="28"/>
        </w:rPr>
      </w:pP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 Численность незанятого населения в Чебаклинском сельском поселении 1</w:t>
      </w:r>
      <w:r w:rsidR="00BF6153">
        <w:rPr>
          <w:rFonts w:ascii="Times New Roman" w:hAnsi="Times New Roman" w:cs="Times New Roman"/>
          <w:sz w:val="24"/>
          <w:szCs w:val="24"/>
        </w:rPr>
        <w:t>5</w:t>
      </w:r>
      <w:r w:rsidRPr="00EB642F">
        <w:rPr>
          <w:rFonts w:ascii="Times New Roman" w:hAnsi="Times New Roman" w:cs="Times New Roman"/>
          <w:sz w:val="24"/>
          <w:szCs w:val="24"/>
        </w:rPr>
        <w:t xml:space="preserve"> человек (202</w:t>
      </w:r>
      <w:r w:rsidR="00BF6153">
        <w:rPr>
          <w:rFonts w:ascii="Times New Roman" w:hAnsi="Times New Roman" w:cs="Times New Roman"/>
          <w:sz w:val="24"/>
          <w:szCs w:val="24"/>
        </w:rPr>
        <w:t>4</w:t>
      </w:r>
      <w:r w:rsidRPr="00EB642F">
        <w:rPr>
          <w:rFonts w:ascii="Times New Roman" w:hAnsi="Times New Roman" w:cs="Times New Roman"/>
          <w:sz w:val="24"/>
          <w:szCs w:val="24"/>
        </w:rPr>
        <w:t xml:space="preserve"> г.), связано с отсутствием рынка сбыта продукции, произведённой в личном хозяйстве.</w:t>
      </w: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  Работа с незанятым населением в 202</w:t>
      </w:r>
      <w:r w:rsidR="00BF6153">
        <w:rPr>
          <w:rFonts w:ascii="Times New Roman" w:hAnsi="Times New Roman" w:cs="Times New Roman"/>
          <w:sz w:val="24"/>
          <w:szCs w:val="24"/>
        </w:rPr>
        <w:t>5</w:t>
      </w:r>
      <w:r w:rsidRPr="00EB642F">
        <w:rPr>
          <w:rFonts w:ascii="Times New Roman" w:hAnsi="Times New Roman" w:cs="Times New Roman"/>
          <w:sz w:val="24"/>
          <w:szCs w:val="24"/>
        </w:rPr>
        <w:t xml:space="preserve"> году и плановом периоде 202</w:t>
      </w:r>
      <w:r w:rsidR="00BF6153">
        <w:rPr>
          <w:rFonts w:ascii="Times New Roman" w:hAnsi="Times New Roman" w:cs="Times New Roman"/>
          <w:sz w:val="24"/>
          <w:szCs w:val="24"/>
        </w:rPr>
        <w:t>6</w:t>
      </w:r>
      <w:r w:rsidRPr="00EB642F">
        <w:rPr>
          <w:rFonts w:ascii="Times New Roman" w:hAnsi="Times New Roman" w:cs="Times New Roman"/>
          <w:sz w:val="24"/>
          <w:szCs w:val="24"/>
        </w:rPr>
        <w:t xml:space="preserve"> и 202</w:t>
      </w:r>
      <w:r w:rsidR="00BF6153">
        <w:rPr>
          <w:rFonts w:ascii="Times New Roman" w:hAnsi="Times New Roman" w:cs="Times New Roman"/>
          <w:sz w:val="24"/>
          <w:szCs w:val="24"/>
        </w:rPr>
        <w:t>7</w:t>
      </w:r>
      <w:r w:rsidRPr="00EB642F">
        <w:rPr>
          <w:rFonts w:ascii="Times New Roman" w:hAnsi="Times New Roman" w:cs="Times New Roman"/>
          <w:sz w:val="24"/>
          <w:szCs w:val="24"/>
        </w:rPr>
        <w:t xml:space="preserve"> годов будет иметь те же следующие направления: - трудоустройство на постоянные и временные рабочие места;</w:t>
      </w:r>
    </w:p>
    <w:p w:rsidR="008C7830" w:rsidRPr="00EB642F" w:rsidRDefault="008C7830" w:rsidP="008C78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>обучение, переобучение, повышение квалификации;</w:t>
      </w:r>
    </w:p>
    <w:p w:rsidR="008C7830" w:rsidRPr="00EB642F" w:rsidRDefault="008C7830" w:rsidP="008C78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>оплачиваемые общественные работы;</w:t>
      </w:r>
    </w:p>
    <w:p w:rsidR="008C7830" w:rsidRPr="00EB642F" w:rsidRDefault="008C7830" w:rsidP="008C78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42F">
        <w:rPr>
          <w:rFonts w:ascii="Times New Roman" w:hAnsi="Times New Roman" w:cs="Times New Roman"/>
          <w:sz w:val="24"/>
          <w:szCs w:val="24"/>
        </w:rPr>
        <w:t>профконсультационные</w:t>
      </w:r>
      <w:proofErr w:type="spellEnd"/>
      <w:r w:rsidRPr="00EB64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642F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EB642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8C7830" w:rsidRPr="00EB642F" w:rsidRDefault="008C7830" w:rsidP="008C7830">
      <w:pPr>
        <w:pStyle w:val="a5"/>
        <w:rPr>
          <w:sz w:val="24"/>
          <w:szCs w:val="24"/>
        </w:rPr>
      </w:pPr>
      <w:r w:rsidRPr="00EB642F">
        <w:rPr>
          <w:sz w:val="24"/>
          <w:szCs w:val="24"/>
        </w:rPr>
        <w:t xml:space="preserve">      В реализации намеченного будут задействованы средства федерального, областного и районного бюджетов, кроме того, в плане занятости населения особое внимание будет уделено выполнению нового  федерального Закона «О личном подсобном хозяйстве», согласно которому у жителей сельского поселения занимающихся личным подсобным хозяйством появилось право добровольно вступать в правоотношения по обязательному пенсионному страхованию, а также пользоваться мерами государственной поддержки, предусмотренными законодательством Российской Федерации для сельскохозяйственных товаропроизводителей и осуществляемых за счет средств федерального бюджета, бюджетов субъектов Российской Федерации и местных бюджетов.</w:t>
      </w:r>
    </w:p>
    <w:p w:rsidR="008C7830" w:rsidRPr="00EB642F" w:rsidRDefault="008C7830" w:rsidP="008C78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830" w:rsidRDefault="008C7830" w:rsidP="008C78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8. Закупки продукции для муниципальных нужд</w:t>
      </w:r>
    </w:p>
    <w:p w:rsidR="008C7830" w:rsidRPr="00EB642F" w:rsidRDefault="000F6138" w:rsidP="008C7830">
      <w:pPr>
        <w:pStyle w:val="21"/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C7830" w:rsidRPr="00EB642F">
        <w:rPr>
          <w:sz w:val="24"/>
          <w:szCs w:val="24"/>
        </w:rPr>
        <w:t xml:space="preserve">Приобретение товаров, работ, услуг для муниципальных нужд, </w:t>
      </w:r>
      <w:proofErr w:type="gramStart"/>
      <w:r w:rsidR="008C7830" w:rsidRPr="00EB642F">
        <w:rPr>
          <w:sz w:val="24"/>
          <w:szCs w:val="24"/>
        </w:rPr>
        <w:t>согласно статьи</w:t>
      </w:r>
      <w:proofErr w:type="gramEnd"/>
      <w:r w:rsidR="008C7830" w:rsidRPr="00EB642F">
        <w:rPr>
          <w:sz w:val="24"/>
          <w:szCs w:val="24"/>
        </w:rPr>
        <w:t xml:space="preserve"> 68 Бюджетного кодекса РФ, осуществляется за счет текущих расходов бюджета. Статья 70 Бюджетного кодекса РФ определяет, что бюджетные учреждения расходуют бюджетные средства на оплату товаров, работ и услуг в соответствии с утвержденными сметами. Все закупки товаров, работ и услуг, на сумму свыше 20 минимальных размеров оплаты труда, осуществляются исключительно на основании муниципальных контрактов (договоров).  Договора заключаются бюджетными учреждениями в целях обеспечения муниципальных нужд, предусмотренные в расходах муниципального бюджета.</w:t>
      </w:r>
    </w:p>
    <w:p w:rsidR="000F5044" w:rsidRDefault="000F5044" w:rsidP="008C7830">
      <w:pPr>
        <w:pStyle w:val="2"/>
      </w:pPr>
    </w:p>
    <w:p w:rsidR="008C7830" w:rsidRDefault="008C7830" w:rsidP="008C7830">
      <w:pPr>
        <w:pStyle w:val="2"/>
      </w:pPr>
      <w:r>
        <w:t xml:space="preserve">Показатели расходов местного бюджета на приобретение </w:t>
      </w:r>
    </w:p>
    <w:p w:rsidR="008C7830" w:rsidRDefault="008C7830" w:rsidP="008C783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товаров, работ, услуг</w:t>
      </w:r>
    </w:p>
    <w:p w:rsidR="008C7830" w:rsidRPr="000532CE" w:rsidRDefault="008C7830" w:rsidP="008C783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532CE">
        <w:rPr>
          <w:rFonts w:ascii="Times New Roman" w:hAnsi="Times New Roman" w:cs="Times New Roman"/>
          <w:sz w:val="18"/>
          <w:szCs w:val="18"/>
        </w:rPr>
        <w:t>( тыс. руб.)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1"/>
        <w:gridCol w:w="2927"/>
        <w:gridCol w:w="1134"/>
        <w:gridCol w:w="1275"/>
        <w:gridCol w:w="1134"/>
        <w:gridCol w:w="1134"/>
        <w:gridCol w:w="1215"/>
      </w:tblGrid>
      <w:tr w:rsidR="008C7830" w:rsidTr="000532CE"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 w:rsidP="0005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 w:rsidP="0005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статей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830" w:rsidTr="000532CE">
        <w:trPr>
          <w:trHeight w:val="593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 w:rsidP="000532CE">
            <w:pPr>
              <w:pStyle w:val="a7"/>
              <w:jc w:val="center"/>
            </w:pPr>
            <w:r>
              <w:t>План</w:t>
            </w:r>
          </w:p>
          <w:p w:rsidR="008C7830" w:rsidRDefault="008C7830" w:rsidP="00715F00">
            <w:pPr>
              <w:pStyle w:val="a7"/>
              <w:jc w:val="center"/>
            </w:pPr>
            <w:r>
              <w:t>202</w:t>
            </w:r>
            <w:r w:rsidR="00AB7B7E">
              <w:t>4</w:t>
            </w:r>
            <w:r>
              <w:t xml:space="preserve"> 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 w:rsidP="00AB7B7E">
            <w:pPr>
              <w:pStyle w:val="a7"/>
              <w:jc w:val="center"/>
            </w:pPr>
            <w:r>
              <w:t>Прогноз на 202</w:t>
            </w:r>
            <w:r w:rsidR="00AB7B7E">
              <w:t>5</w:t>
            </w:r>
            <w:r>
              <w:t xml:space="preserve"> 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 w:rsidP="000532CE">
            <w:pPr>
              <w:pStyle w:val="a7"/>
              <w:jc w:val="center"/>
            </w:pPr>
            <w:r>
              <w:t>В %</w:t>
            </w:r>
          </w:p>
          <w:p w:rsidR="008C7830" w:rsidRDefault="008C7830" w:rsidP="00AB7B7E">
            <w:pPr>
              <w:pStyle w:val="a7"/>
              <w:jc w:val="center"/>
            </w:pPr>
            <w:r>
              <w:t>к 202</w:t>
            </w:r>
            <w:r w:rsidR="00AB7B7E">
              <w:t>4</w:t>
            </w:r>
            <w:r>
              <w:t xml:space="preserve"> 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 w:rsidP="000532CE">
            <w:pPr>
              <w:pStyle w:val="a7"/>
              <w:jc w:val="center"/>
            </w:pPr>
            <w:r>
              <w:t>Прогноз на 202</w:t>
            </w:r>
            <w:r w:rsidR="00AB7B7E">
              <w:t>6</w:t>
            </w:r>
            <w:r>
              <w:t xml:space="preserve"> г.</w:t>
            </w:r>
          </w:p>
          <w:p w:rsidR="008C7830" w:rsidRDefault="008C7830" w:rsidP="000532CE">
            <w:pPr>
              <w:pStyle w:val="a7"/>
              <w:jc w:val="center"/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 w:rsidP="000532CE">
            <w:pPr>
              <w:pStyle w:val="a7"/>
              <w:jc w:val="center"/>
            </w:pPr>
            <w:r>
              <w:t>Прогноз на 202</w:t>
            </w:r>
            <w:r w:rsidR="00AB7B7E">
              <w:t>7</w:t>
            </w:r>
            <w:r>
              <w:t xml:space="preserve"> г.</w:t>
            </w:r>
          </w:p>
          <w:p w:rsidR="008C7830" w:rsidRDefault="008C7830" w:rsidP="000532CE">
            <w:pPr>
              <w:pStyle w:val="a7"/>
              <w:jc w:val="center"/>
            </w:pPr>
          </w:p>
        </w:tc>
      </w:tr>
      <w:tr w:rsidR="008C7830" w:rsidTr="000532C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 w:rsidP="0005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учреждения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rPr>
                <w:rFonts w:ascii="Times New Roman" w:hAnsi="Times New Roman" w:cs="Times New Roman"/>
              </w:rPr>
            </w:pPr>
          </w:p>
        </w:tc>
      </w:tr>
      <w:tr w:rsidR="008C7830" w:rsidTr="000532C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tabs>
                <w:tab w:val="right" w:pos="25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ГСМ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AB7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AB7B7E" w:rsidP="00AB7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8C7830" w:rsidTr="000532C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tabs>
                <w:tab w:val="right" w:pos="25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Диз.топливо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830" w:rsidTr="000532C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</w:tr>
      <w:tr w:rsidR="008C7830" w:rsidTr="000532C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Топливо (уголь)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830" w:rsidTr="000532C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715F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Электроэнергия, в т. ч </w:t>
            </w:r>
            <w:r w:rsidR="008C7830">
              <w:rPr>
                <w:rFonts w:ascii="Times New Roman" w:hAnsi="Times New Roman" w:cs="Times New Roman"/>
              </w:rPr>
              <w:t>администрация,             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10,0    </w:t>
            </w:r>
          </w:p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8C7830" w:rsidTr="000532C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Питание-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</w:tr>
      <w:tr w:rsidR="008C7830" w:rsidTr="000532CE">
        <w:trPr>
          <w:trHeight w:val="30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Медикаменты 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>АПы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8C7830" w:rsidTr="000532CE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 Е Г 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194,0</w:t>
            </w:r>
          </w:p>
        </w:tc>
      </w:tr>
    </w:tbl>
    <w:p w:rsidR="008C7830" w:rsidRDefault="008C7830" w:rsidP="008C7830">
      <w:pPr>
        <w:jc w:val="both"/>
        <w:rPr>
          <w:rFonts w:ascii="Times New Roman" w:hAnsi="Times New Roman" w:cs="Times New Roman"/>
          <w:sz w:val="28"/>
        </w:rPr>
      </w:pP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 Ежегодно на закуп продукции из местного бюджета направляется в среднем до 40 % всех расходов. В структуре расходов основная доля 70 % приходится на приобретение топлива,  15 %  на приобретение электроэнергии, от  3 до 5 % услуги связи. </w:t>
      </w:r>
    </w:p>
    <w:p w:rsidR="008C7830" w:rsidRPr="00EB642F" w:rsidRDefault="008C7830" w:rsidP="008C7830">
      <w:pPr>
        <w:pStyle w:val="9"/>
        <w:rPr>
          <w:b w:val="0"/>
          <w:sz w:val="24"/>
          <w:szCs w:val="24"/>
        </w:rPr>
      </w:pPr>
      <w:r w:rsidRPr="00EB642F">
        <w:rPr>
          <w:b w:val="0"/>
          <w:sz w:val="24"/>
          <w:szCs w:val="24"/>
        </w:rPr>
        <w:lastRenderedPageBreak/>
        <w:t>Потребление топлива</w:t>
      </w:r>
    </w:p>
    <w:p w:rsidR="008C7830" w:rsidRPr="00EB642F" w:rsidRDefault="008C7830" w:rsidP="008C7830">
      <w:pPr>
        <w:pStyle w:val="a5"/>
        <w:rPr>
          <w:sz w:val="24"/>
          <w:szCs w:val="24"/>
        </w:rPr>
      </w:pPr>
      <w:r w:rsidRPr="00EB642F">
        <w:rPr>
          <w:sz w:val="24"/>
          <w:szCs w:val="24"/>
        </w:rPr>
        <w:t xml:space="preserve">      В целях единого подхода к расчетам в потребности топлива на каждый отопительный сезон экономический комитет Администрации района рассчитывает топливный баланс сельского поселения, в том числе и бюджетных учреждений поселения. После защиты топливного баланса района  в Экономическом комитете Администрации Большеуковского района Омской области постановлением Главы администрации утверждаются лимиты потребления топлива по всем бюджетным учреждениям сельских поселений. В течение года проводится постоянный контроль фактического использования топлива учреждениями и анализ с утвержденными лимитами.</w:t>
      </w:r>
    </w:p>
    <w:p w:rsidR="008C7830" w:rsidRDefault="008C7830" w:rsidP="008C7830">
      <w:pPr>
        <w:pStyle w:val="a5"/>
      </w:pPr>
    </w:p>
    <w:p w:rsidR="008C7830" w:rsidRDefault="008C7830" w:rsidP="008C7830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3161"/>
        <w:gridCol w:w="1451"/>
        <w:gridCol w:w="1473"/>
        <w:gridCol w:w="1337"/>
        <w:gridCol w:w="1358"/>
      </w:tblGrid>
      <w:tr w:rsidR="008C7830" w:rsidTr="008C78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теплоисточников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 дров сельским поселением в отопительные периоды,  куб./</w:t>
            </w:r>
            <w:proofErr w:type="spellStart"/>
            <w:r>
              <w:rPr>
                <w:sz w:val="22"/>
                <w:szCs w:val="22"/>
              </w:rPr>
              <w:t>тысруб</w:t>
            </w:r>
            <w:proofErr w:type="spellEnd"/>
          </w:p>
        </w:tc>
      </w:tr>
      <w:tr w:rsidR="008C7830" w:rsidTr="008C78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 w:rsidP="00AB7B7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B7B7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 w:rsidP="00AB7B7E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B7B7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8C7830" w:rsidTr="008C783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247,9</w:t>
            </w:r>
          </w:p>
        </w:tc>
      </w:tr>
    </w:tbl>
    <w:p w:rsidR="008C7830" w:rsidRPr="00EB642F" w:rsidRDefault="008C7830" w:rsidP="008C7830">
      <w:pPr>
        <w:pStyle w:val="2"/>
        <w:jc w:val="both"/>
        <w:rPr>
          <w:sz w:val="24"/>
          <w:szCs w:val="24"/>
        </w:rPr>
      </w:pPr>
      <w:r w:rsidRPr="00EB642F">
        <w:rPr>
          <w:sz w:val="24"/>
          <w:szCs w:val="24"/>
        </w:rPr>
        <w:t xml:space="preserve">С </w:t>
      </w:r>
      <w:smartTag w:uri="urn:schemas-microsoft-com:office:smarttags" w:element="metricconverter">
        <w:smartTagPr>
          <w:attr w:name="ProductID" w:val="2016 г"/>
        </w:smartTagPr>
        <w:r w:rsidRPr="00EB642F">
          <w:rPr>
            <w:sz w:val="24"/>
            <w:szCs w:val="24"/>
          </w:rPr>
          <w:t>2016 г</w:t>
        </w:r>
      </w:smartTag>
      <w:r w:rsidRPr="00EB642F">
        <w:rPr>
          <w:sz w:val="24"/>
          <w:szCs w:val="24"/>
        </w:rPr>
        <w:t xml:space="preserve"> здания администрации, школы, клубная система перешли на дровяное отопление.                   </w:t>
      </w:r>
    </w:p>
    <w:p w:rsidR="008C7830" w:rsidRDefault="008C7830" w:rsidP="008C7830">
      <w:pPr>
        <w:pStyle w:val="2"/>
        <w:rPr>
          <w:szCs w:val="28"/>
        </w:rPr>
      </w:pPr>
    </w:p>
    <w:p w:rsidR="008C7830" w:rsidRDefault="008C7830" w:rsidP="008C7830">
      <w:pPr>
        <w:pStyle w:val="2"/>
        <w:rPr>
          <w:szCs w:val="28"/>
        </w:rPr>
      </w:pPr>
      <w:r>
        <w:rPr>
          <w:szCs w:val="28"/>
        </w:rPr>
        <w:t>Потребление электроэнергии</w:t>
      </w: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 Ежегодно постановлением Главы администрации ра</w:t>
      </w:r>
      <w:r w:rsidR="00715F00">
        <w:rPr>
          <w:rFonts w:ascii="Times New Roman" w:hAnsi="Times New Roman" w:cs="Times New Roman"/>
          <w:sz w:val="24"/>
          <w:szCs w:val="24"/>
        </w:rPr>
        <w:t xml:space="preserve">йона на основании экономически </w:t>
      </w:r>
      <w:r w:rsidRPr="00EB642F">
        <w:rPr>
          <w:rFonts w:ascii="Times New Roman" w:hAnsi="Times New Roman" w:cs="Times New Roman"/>
          <w:sz w:val="24"/>
          <w:szCs w:val="24"/>
        </w:rPr>
        <w:t>обоснованных расчетов утверждаются лимиты потребленияэлектроэнергии для бюджетных учреждений сельского поселения. Системой контроля з</w:t>
      </w:r>
      <w:r w:rsidR="00715F00">
        <w:rPr>
          <w:rFonts w:ascii="Times New Roman" w:hAnsi="Times New Roman" w:cs="Times New Roman"/>
          <w:sz w:val="24"/>
          <w:szCs w:val="24"/>
        </w:rPr>
        <w:t xml:space="preserve">а расходованием электроэнергии </w:t>
      </w:r>
      <w:r w:rsidRPr="00EB642F">
        <w:rPr>
          <w:rFonts w:ascii="Times New Roman" w:hAnsi="Times New Roman" w:cs="Times New Roman"/>
          <w:sz w:val="24"/>
          <w:szCs w:val="24"/>
        </w:rPr>
        <w:t>предусмотрено:</w:t>
      </w: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  1. Доведение лимита электроэнергии до каждого структурного подразделения бюджетного учреждения (ФАПа, клуба, школы, библиотеки и т.д.).</w:t>
      </w: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   2. На каждого руководителя структурного подразделения приказом руководителя образования, культуры, здравоохранения, социальной защиты возложена ответственность за потребление и контроль за расходованием электроэнергии в соответствии с утвержденным лимитом.</w:t>
      </w:r>
    </w:p>
    <w:p w:rsidR="008C7830" w:rsidRPr="00EB642F" w:rsidRDefault="008C7830" w:rsidP="008C7830">
      <w:pPr>
        <w:pStyle w:val="a5"/>
        <w:rPr>
          <w:sz w:val="24"/>
          <w:szCs w:val="24"/>
        </w:rPr>
      </w:pPr>
      <w:r w:rsidRPr="00EB642F">
        <w:rPr>
          <w:sz w:val="24"/>
          <w:szCs w:val="24"/>
        </w:rPr>
        <w:t xml:space="preserve">         3. Сбор поквартальной информации о фактическом расходовании         электроэнергии по бюджетным учреждениям и экономический анализ с утвержденным лимитом. </w:t>
      </w:r>
    </w:p>
    <w:p w:rsidR="008C7830" w:rsidRDefault="008C7830" w:rsidP="008C7830">
      <w:pPr>
        <w:pStyle w:val="1"/>
        <w:jc w:val="center"/>
        <w:rPr>
          <w:b/>
          <w:sz w:val="24"/>
        </w:rPr>
      </w:pPr>
    </w:p>
    <w:p w:rsidR="008C7830" w:rsidRDefault="008C7830" w:rsidP="008C7830">
      <w:pPr>
        <w:pStyle w:val="1"/>
        <w:jc w:val="center"/>
        <w:rPr>
          <w:b/>
          <w:sz w:val="24"/>
        </w:rPr>
      </w:pPr>
      <w:r>
        <w:rPr>
          <w:b/>
          <w:sz w:val="24"/>
        </w:rPr>
        <w:t xml:space="preserve">ЭКОНОМИЧЕСКИЙ     АНАЛИЗ </w:t>
      </w:r>
    </w:p>
    <w:p w:rsidR="008C7830" w:rsidRPr="00EB642F" w:rsidRDefault="008C7830" w:rsidP="008C7830">
      <w:pPr>
        <w:pStyle w:val="1"/>
        <w:jc w:val="center"/>
        <w:rPr>
          <w:sz w:val="24"/>
          <w:szCs w:val="24"/>
        </w:rPr>
      </w:pPr>
      <w:r w:rsidRPr="00EB642F">
        <w:rPr>
          <w:sz w:val="24"/>
          <w:szCs w:val="24"/>
        </w:rPr>
        <w:t xml:space="preserve">потребления электроэнергии учреждениями бюджетной сферы </w:t>
      </w:r>
    </w:p>
    <w:p w:rsidR="008C7830" w:rsidRPr="00EB642F" w:rsidRDefault="008C7830" w:rsidP="008C7830">
      <w:pPr>
        <w:pStyle w:val="1"/>
        <w:jc w:val="center"/>
        <w:rPr>
          <w:sz w:val="24"/>
          <w:szCs w:val="24"/>
        </w:rPr>
      </w:pPr>
      <w:r w:rsidRPr="00EB642F">
        <w:rPr>
          <w:sz w:val="24"/>
          <w:szCs w:val="24"/>
        </w:rPr>
        <w:t>за 202</w:t>
      </w:r>
      <w:r w:rsidR="00715F00">
        <w:rPr>
          <w:sz w:val="24"/>
          <w:szCs w:val="24"/>
        </w:rPr>
        <w:t>2</w:t>
      </w:r>
      <w:r w:rsidRPr="00EB642F">
        <w:rPr>
          <w:sz w:val="24"/>
          <w:szCs w:val="24"/>
        </w:rPr>
        <w:t>-202</w:t>
      </w:r>
      <w:r w:rsidR="00715F00">
        <w:rPr>
          <w:sz w:val="24"/>
          <w:szCs w:val="24"/>
        </w:rPr>
        <w:t>3</w:t>
      </w:r>
      <w:r w:rsidRPr="00EB642F">
        <w:rPr>
          <w:sz w:val="24"/>
          <w:szCs w:val="24"/>
        </w:rPr>
        <w:t xml:space="preserve"> годы и на плановый период 202</w:t>
      </w:r>
      <w:r w:rsidR="00715F00">
        <w:rPr>
          <w:sz w:val="24"/>
          <w:szCs w:val="24"/>
        </w:rPr>
        <w:t>4</w:t>
      </w:r>
      <w:r w:rsidRPr="00EB642F">
        <w:rPr>
          <w:sz w:val="24"/>
          <w:szCs w:val="24"/>
        </w:rPr>
        <w:t xml:space="preserve"> и 202</w:t>
      </w:r>
      <w:r w:rsidR="00715F00">
        <w:rPr>
          <w:sz w:val="24"/>
          <w:szCs w:val="24"/>
        </w:rPr>
        <w:t>5-2026</w:t>
      </w:r>
      <w:r w:rsidRPr="00EB642F">
        <w:rPr>
          <w:sz w:val="24"/>
          <w:szCs w:val="24"/>
        </w:rPr>
        <w:t xml:space="preserve"> годов</w:t>
      </w:r>
    </w:p>
    <w:p w:rsidR="008C7830" w:rsidRPr="00EB642F" w:rsidRDefault="008C7830" w:rsidP="008C7830">
      <w:pPr>
        <w:pStyle w:val="1"/>
        <w:jc w:val="center"/>
        <w:rPr>
          <w:sz w:val="20"/>
        </w:rPr>
      </w:pPr>
      <w:r w:rsidRPr="00EB642F">
        <w:rPr>
          <w:sz w:val="20"/>
        </w:rPr>
        <w:t xml:space="preserve">                                                                                                                    (тыс. кВт)                                                                                                                             </w:t>
      </w:r>
    </w:p>
    <w:tbl>
      <w:tblPr>
        <w:tblW w:w="88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0"/>
        <w:gridCol w:w="1260"/>
        <w:gridCol w:w="1260"/>
        <w:gridCol w:w="1260"/>
        <w:gridCol w:w="1260"/>
      </w:tblGrid>
      <w:tr w:rsidR="008C7830" w:rsidTr="008C783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Бюджетные 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30" w:rsidRDefault="008C7830" w:rsidP="00AB7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AB7B7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 w:rsidP="00AB7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 на 202</w:t>
            </w:r>
            <w:r w:rsidR="00AB7B7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 w:rsidP="00AB7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 на 202</w:t>
            </w:r>
            <w:r w:rsidR="00AB7B7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 w:rsidP="00AB7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 на 202</w:t>
            </w:r>
            <w:r w:rsidR="00AB7B7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C7830" w:rsidTr="008C783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8C7830" w:rsidTr="008C783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C7830" w:rsidTr="008C783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с/поселения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</w:tr>
      <w:tr w:rsidR="008C7830" w:rsidTr="008C783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8C7830" w:rsidTr="008C783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112,6</w:t>
            </w:r>
          </w:p>
        </w:tc>
      </w:tr>
    </w:tbl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lastRenderedPageBreak/>
        <w:t xml:space="preserve">       Фактическое потребление электроэнергии в 202</w:t>
      </w:r>
      <w:r w:rsidR="00AB7B7E">
        <w:rPr>
          <w:rFonts w:ascii="Times New Roman" w:hAnsi="Times New Roman" w:cs="Times New Roman"/>
          <w:sz w:val="24"/>
          <w:szCs w:val="24"/>
        </w:rPr>
        <w:t>4</w:t>
      </w:r>
      <w:r w:rsidRPr="00EB642F">
        <w:rPr>
          <w:rFonts w:ascii="Times New Roman" w:hAnsi="Times New Roman" w:cs="Times New Roman"/>
          <w:sz w:val="24"/>
          <w:szCs w:val="24"/>
        </w:rPr>
        <w:t xml:space="preserve"> году 102 тыс. кВт. В 202</w:t>
      </w:r>
      <w:r w:rsidR="00AB7B7E">
        <w:rPr>
          <w:rFonts w:ascii="Times New Roman" w:hAnsi="Times New Roman" w:cs="Times New Roman"/>
          <w:sz w:val="24"/>
          <w:szCs w:val="24"/>
        </w:rPr>
        <w:t>5</w:t>
      </w:r>
      <w:r w:rsidRPr="00EB642F">
        <w:rPr>
          <w:rFonts w:ascii="Times New Roman" w:hAnsi="Times New Roman" w:cs="Times New Roman"/>
          <w:sz w:val="24"/>
          <w:szCs w:val="24"/>
        </w:rPr>
        <w:t xml:space="preserve"> году и плановых периодах 202</w:t>
      </w:r>
      <w:r w:rsidR="00AB7B7E">
        <w:rPr>
          <w:rFonts w:ascii="Times New Roman" w:hAnsi="Times New Roman" w:cs="Times New Roman"/>
          <w:sz w:val="24"/>
          <w:szCs w:val="24"/>
        </w:rPr>
        <w:t>6</w:t>
      </w:r>
      <w:r w:rsidRPr="00EB642F">
        <w:rPr>
          <w:rFonts w:ascii="Times New Roman" w:hAnsi="Times New Roman" w:cs="Times New Roman"/>
          <w:sz w:val="24"/>
          <w:szCs w:val="24"/>
        </w:rPr>
        <w:t xml:space="preserve"> и 202</w:t>
      </w:r>
      <w:r w:rsidR="00AB7B7E">
        <w:rPr>
          <w:rFonts w:ascii="Times New Roman" w:hAnsi="Times New Roman" w:cs="Times New Roman"/>
          <w:sz w:val="24"/>
          <w:szCs w:val="24"/>
        </w:rPr>
        <w:t>7</w:t>
      </w:r>
      <w:r w:rsidRPr="00EB642F">
        <w:rPr>
          <w:rFonts w:ascii="Times New Roman" w:hAnsi="Times New Roman" w:cs="Times New Roman"/>
          <w:sz w:val="24"/>
          <w:szCs w:val="24"/>
        </w:rPr>
        <w:t xml:space="preserve"> годов с небольшим увеличением.</w:t>
      </w:r>
    </w:p>
    <w:p w:rsidR="008C7830" w:rsidRPr="00EB642F" w:rsidRDefault="008C7830" w:rsidP="008C7830">
      <w:pPr>
        <w:pStyle w:val="9"/>
        <w:rPr>
          <w:b w:val="0"/>
          <w:sz w:val="24"/>
          <w:szCs w:val="24"/>
        </w:rPr>
      </w:pPr>
      <w:r w:rsidRPr="00EB642F">
        <w:rPr>
          <w:b w:val="0"/>
          <w:sz w:val="24"/>
          <w:szCs w:val="24"/>
        </w:rPr>
        <w:t>Приобретение услуг связи</w:t>
      </w:r>
    </w:p>
    <w:p w:rsidR="008C7830" w:rsidRPr="00EB642F" w:rsidRDefault="008C7830" w:rsidP="00AB7B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>В целях обеспечения контроля и снижения затрат за пользование междугородней телефонной связью работниками администрации Чебаклинского сельского поселения Большеуковского муниципального района распоряжением Главы администрации установлен месячный лимит времени междугородних переговоров должностными лицами аппарата администрации.</w:t>
      </w: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В случае превышения установленного лимита времени оплату за междугородние телефонные переговоры производятся за счет заработной платы должностных лиц. Использование служебных телефонов в личных целях запрещено.</w:t>
      </w:r>
    </w:p>
    <w:p w:rsidR="008C7830" w:rsidRPr="00EB642F" w:rsidRDefault="008C7830" w:rsidP="008C7830">
      <w:pPr>
        <w:pStyle w:val="a5"/>
        <w:rPr>
          <w:sz w:val="24"/>
          <w:szCs w:val="24"/>
        </w:rPr>
      </w:pPr>
      <w:r w:rsidRPr="00EB642F">
        <w:rPr>
          <w:sz w:val="24"/>
          <w:szCs w:val="24"/>
        </w:rPr>
        <w:t xml:space="preserve">     Все бюджетные учреждения работают с Большеуковским РУС согласно заключенных договоров.</w:t>
      </w:r>
    </w:p>
    <w:p w:rsidR="008C7830" w:rsidRPr="00EB642F" w:rsidRDefault="008C7830" w:rsidP="008C7830">
      <w:pPr>
        <w:pStyle w:val="a5"/>
        <w:rPr>
          <w:b/>
          <w:sz w:val="24"/>
          <w:szCs w:val="24"/>
        </w:rPr>
      </w:pPr>
    </w:p>
    <w:p w:rsidR="008C7830" w:rsidRPr="00EB642F" w:rsidRDefault="008C7830" w:rsidP="008C7830">
      <w:pPr>
        <w:pStyle w:val="9"/>
        <w:rPr>
          <w:b w:val="0"/>
          <w:sz w:val="24"/>
          <w:szCs w:val="24"/>
        </w:rPr>
      </w:pPr>
      <w:r w:rsidRPr="00EB642F">
        <w:rPr>
          <w:b w:val="0"/>
          <w:sz w:val="24"/>
          <w:szCs w:val="24"/>
        </w:rPr>
        <w:t>Приобретение продуктов питания</w:t>
      </w:r>
    </w:p>
    <w:p w:rsidR="008C7830" w:rsidRPr="00EB642F" w:rsidRDefault="008C7830" w:rsidP="008C78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>Ежегодно на осенний и весенний сезон закупок сельскохозяйственных продуктов в учреждения бюджетной сферы (ЦРБ, детские сады, школы), распоряжением Главы администрации устанавливаются закупочные цены на закуп сельскохозяйственных продуктов из расчета средне районных.</w:t>
      </w: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В связи с тем, что на территории района нет</w:t>
      </w:r>
      <w:r w:rsidR="00715F00">
        <w:rPr>
          <w:rFonts w:ascii="Times New Roman" w:hAnsi="Times New Roman" w:cs="Times New Roman"/>
          <w:sz w:val="24"/>
          <w:szCs w:val="24"/>
        </w:rPr>
        <w:t xml:space="preserve"> альтернативных предприятий по </w:t>
      </w:r>
      <w:r w:rsidRPr="00EB642F">
        <w:rPr>
          <w:rFonts w:ascii="Times New Roman" w:hAnsi="Times New Roman" w:cs="Times New Roman"/>
          <w:sz w:val="24"/>
          <w:szCs w:val="24"/>
        </w:rPr>
        <w:t xml:space="preserve">оказанию услуг связи (оказывает Большеуковский </w:t>
      </w:r>
      <w:proofErr w:type="gramStart"/>
      <w:r w:rsidRPr="00EB642F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Pr="00EB642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B642F">
        <w:rPr>
          <w:rFonts w:ascii="Times New Roman" w:hAnsi="Times New Roman" w:cs="Times New Roman"/>
          <w:sz w:val="24"/>
          <w:szCs w:val="24"/>
        </w:rPr>
        <w:t>тепловойэнергии</w:t>
      </w:r>
      <w:proofErr w:type="spellEnd"/>
      <w:r w:rsidRPr="00EB642F">
        <w:rPr>
          <w:rFonts w:ascii="Times New Roman" w:hAnsi="Times New Roman" w:cs="Times New Roman"/>
          <w:sz w:val="24"/>
          <w:szCs w:val="24"/>
        </w:rPr>
        <w:t xml:space="preserve"> (оказывает ООО «Теплосервис»), электроэнергии (Большеуковский РЭС) целесообразности в проведении  конкурсного отбора поставщика товаров, работ, услуг нет.</w:t>
      </w:r>
    </w:p>
    <w:p w:rsidR="008C7830" w:rsidRPr="00EB642F" w:rsidRDefault="008C7830" w:rsidP="008C7830">
      <w:pPr>
        <w:jc w:val="both"/>
        <w:rPr>
          <w:rFonts w:ascii="Times New Roman" w:hAnsi="Times New Roman" w:cs="Times New Roman"/>
          <w:sz w:val="24"/>
          <w:szCs w:val="24"/>
        </w:rPr>
      </w:pPr>
      <w:r w:rsidRPr="00EB642F">
        <w:rPr>
          <w:rFonts w:ascii="Times New Roman" w:hAnsi="Times New Roman" w:cs="Times New Roman"/>
          <w:sz w:val="24"/>
          <w:szCs w:val="24"/>
        </w:rPr>
        <w:t xml:space="preserve">     Функционирование отраслей социальной сферы района в 202</w:t>
      </w:r>
      <w:r w:rsidR="00715F00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EB642F">
        <w:rPr>
          <w:rFonts w:ascii="Times New Roman" w:hAnsi="Times New Roman" w:cs="Times New Roman"/>
          <w:sz w:val="24"/>
          <w:szCs w:val="24"/>
        </w:rPr>
        <w:t xml:space="preserve"> году будет, как и прежде  проходить в условиях жестких финансовых ограничений. Важно правильно выбрать путь  ресурсосбережения, удешевления топливно-энергетических затрат. Крупнейшей экономической задачей должно стать ресурсосбережение.</w:t>
      </w:r>
    </w:p>
    <w:p w:rsidR="008C7830" w:rsidRPr="00EB642F" w:rsidRDefault="008C7830" w:rsidP="008C783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C7830" w:rsidRPr="00EB642F" w:rsidRDefault="008C7830" w:rsidP="008C7830">
      <w:pPr>
        <w:pStyle w:val="2"/>
        <w:jc w:val="left"/>
        <w:rPr>
          <w:sz w:val="24"/>
          <w:szCs w:val="24"/>
        </w:rPr>
      </w:pPr>
    </w:p>
    <w:p w:rsidR="008C7830" w:rsidRDefault="008C7830" w:rsidP="008C7830">
      <w:pPr>
        <w:rPr>
          <w:rFonts w:ascii="Times New Roman" w:hAnsi="Times New Roman" w:cs="Times New Roman"/>
          <w:sz w:val="24"/>
          <w:szCs w:val="24"/>
        </w:rPr>
      </w:pPr>
    </w:p>
    <w:p w:rsidR="00EB642F" w:rsidRDefault="00EB642F" w:rsidP="008C7830">
      <w:pPr>
        <w:rPr>
          <w:rFonts w:ascii="Times New Roman" w:hAnsi="Times New Roman" w:cs="Times New Roman"/>
          <w:sz w:val="24"/>
          <w:szCs w:val="24"/>
        </w:rPr>
      </w:pPr>
    </w:p>
    <w:p w:rsidR="00EB642F" w:rsidRDefault="00EB642F" w:rsidP="008C7830">
      <w:pPr>
        <w:rPr>
          <w:rFonts w:ascii="Times New Roman" w:hAnsi="Times New Roman" w:cs="Times New Roman"/>
          <w:sz w:val="24"/>
          <w:szCs w:val="24"/>
        </w:rPr>
      </w:pPr>
    </w:p>
    <w:p w:rsidR="00EB642F" w:rsidRDefault="00EB642F" w:rsidP="008C7830">
      <w:pPr>
        <w:rPr>
          <w:rFonts w:ascii="Times New Roman" w:hAnsi="Times New Roman" w:cs="Times New Roman"/>
          <w:sz w:val="24"/>
          <w:szCs w:val="24"/>
        </w:rPr>
      </w:pPr>
    </w:p>
    <w:p w:rsidR="00EB642F" w:rsidRDefault="00EB642F" w:rsidP="008C7830">
      <w:pPr>
        <w:rPr>
          <w:rFonts w:ascii="Times New Roman" w:hAnsi="Times New Roman" w:cs="Times New Roman"/>
          <w:sz w:val="24"/>
          <w:szCs w:val="24"/>
        </w:rPr>
      </w:pPr>
    </w:p>
    <w:p w:rsidR="00EB642F" w:rsidRDefault="00EB642F" w:rsidP="008C7830">
      <w:pPr>
        <w:rPr>
          <w:rFonts w:ascii="Times New Roman" w:hAnsi="Times New Roman" w:cs="Times New Roman"/>
          <w:sz w:val="24"/>
          <w:szCs w:val="24"/>
        </w:rPr>
      </w:pPr>
    </w:p>
    <w:p w:rsidR="00EB642F" w:rsidRDefault="00EB642F" w:rsidP="008C7830">
      <w:pPr>
        <w:rPr>
          <w:rFonts w:ascii="Times New Roman" w:hAnsi="Times New Roman" w:cs="Times New Roman"/>
          <w:sz w:val="24"/>
          <w:szCs w:val="24"/>
        </w:rPr>
      </w:pPr>
    </w:p>
    <w:p w:rsidR="00EB642F" w:rsidRDefault="00EB642F" w:rsidP="008C7830">
      <w:pPr>
        <w:rPr>
          <w:rFonts w:ascii="Times New Roman" w:hAnsi="Times New Roman" w:cs="Times New Roman"/>
          <w:sz w:val="24"/>
          <w:szCs w:val="24"/>
        </w:rPr>
      </w:pPr>
    </w:p>
    <w:p w:rsidR="008C7830" w:rsidRDefault="008C7830" w:rsidP="008C783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СОДЕРЖАНИЕ</w:t>
      </w:r>
    </w:p>
    <w:p w:rsidR="008C7830" w:rsidRDefault="008C7830" w:rsidP="008C783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2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801"/>
        <w:gridCol w:w="5803"/>
        <w:gridCol w:w="1453"/>
      </w:tblGrid>
      <w:tr w:rsidR="008C7830" w:rsidTr="008C783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раздела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подраздела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страницы</w:t>
            </w:r>
          </w:p>
        </w:tc>
      </w:tr>
      <w:tr w:rsidR="008C7830" w:rsidTr="008C783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Институциональная структура муниципального образования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7830" w:rsidTr="008C783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использования муниципальной собственности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7830" w:rsidTr="008C783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Производственная сфера муниципального образования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7830" w:rsidTr="008C783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 хозяйство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C7830" w:rsidTr="008C783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Потребительский рынок муниципального образования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C7830" w:rsidTr="008C7830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сфера муниципального образования (жилищный фонд и коммунальное хозяйство)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C7830" w:rsidTr="008C7830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C7830" w:rsidTr="008C7830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C7830" w:rsidTr="008C7830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C7830" w:rsidTr="008C7830"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30" w:rsidRDefault="008C78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защита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C7830" w:rsidTr="008C783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доходы и расходы населения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C7830" w:rsidTr="008C783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труда муниципального образования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C7830" w:rsidTr="008C783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30" w:rsidRDefault="008C78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 продуктов для муниципальных нужд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30" w:rsidRDefault="008C7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8C7830" w:rsidRDefault="008C7830" w:rsidP="008C7830">
      <w:pPr>
        <w:pStyle w:val="a3"/>
        <w:tabs>
          <w:tab w:val="left" w:pos="708"/>
        </w:tabs>
      </w:pPr>
    </w:p>
    <w:p w:rsidR="008C7830" w:rsidRDefault="008C7830" w:rsidP="008C7830">
      <w:pPr>
        <w:rPr>
          <w:rFonts w:ascii="Times New Roman" w:hAnsi="Times New Roman" w:cs="Times New Roman"/>
        </w:rPr>
      </w:pPr>
    </w:p>
    <w:p w:rsidR="008C7830" w:rsidRDefault="008C7830" w:rsidP="008C7830">
      <w:pPr>
        <w:rPr>
          <w:rFonts w:ascii="Times New Roman" w:hAnsi="Times New Roman" w:cs="Times New Roman"/>
        </w:rPr>
      </w:pPr>
    </w:p>
    <w:p w:rsidR="008C7830" w:rsidRDefault="008C7830" w:rsidP="008C7830">
      <w:pPr>
        <w:tabs>
          <w:tab w:val="left" w:pos="3975"/>
          <w:tab w:val="left" w:pos="5625"/>
          <w:tab w:val="right" w:pos="9355"/>
        </w:tabs>
        <w:rPr>
          <w:sz w:val="28"/>
          <w:szCs w:val="28"/>
        </w:rPr>
      </w:pPr>
    </w:p>
    <w:p w:rsidR="008C7830" w:rsidRDefault="008C7830" w:rsidP="008C7830">
      <w:pPr>
        <w:tabs>
          <w:tab w:val="left" w:pos="3975"/>
          <w:tab w:val="left" w:pos="5625"/>
          <w:tab w:val="right" w:pos="9355"/>
        </w:tabs>
        <w:rPr>
          <w:sz w:val="28"/>
          <w:szCs w:val="28"/>
        </w:rPr>
      </w:pPr>
    </w:p>
    <w:p w:rsidR="008C7830" w:rsidRDefault="008C7830" w:rsidP="008C7830">
      <w:pPr>
        <w:rPr>
          <w:sz w:val="28"/>
          <w:szCs w:val="28"/>
        </w:rPr>
      </w:pPr>
    </w:p>
    <w:p w:rsidR="008C7830" w:rsidRDefault="008C7830" w:rsidP="008C7830"/>
    <w:p w:rsidR="008C7830" w:rsidRDefault="008C7830"/>
    <w:sectPr w:rsidR="008C7830" w:rsidSect="00B5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E1E16"/>
    <w:multiLevelType w:val="singleLevel"/>
    <w:tmpl w:val="DADA6B5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830"/>
    <w:rsid w:val="000532CE"/>
    <w:rsid w:val="000F5044"/>
    <w:rsid w:val="000F6138"/>
    <w:rsid w:val="002E01D5"/>
    <w:rsid w:val="00310586"/>
    <w:rsid w:val="003D21ED"/>
    <w:rsid w:val="004B1386"/>
    <w:rsid w:val="00595E46"/>
    <w:rsid w:val="006621AB"/>
    <w:rsid w:val="006F528D"/>
    <w:rsid w:val="0071120C"/>
    <w:rsid w:val="00715F00"/>
    <w:rsid w:val="007D60B9"/>
    <w:rsid w:val="008C7830"/>
    <w:rsid w:val="009E124D"/>
    <w:rsid w:val="00A348CA"/>
    <w:rsid w:val="00AB7B7E"/>
    <w:rsid w:val="00B53586"/>
    <w:rsid w:val="00BF6153"/>
    <w:rsid w:val="00E55EEF"/>
    <w:rsid w:val="00EB45A3"/>
    <w:rsid w:val="00EB6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86"/>
  </w:style>
  <w:style w:type="paragraph" w:styleId="1">
    <w:name w:val="heading 1"/>
    <w:basedOn w:val="a"/>
    <w:next w:val="a"/>
    <w:link w:val="10"/>
    <w:qFormat/>
    <w:rsid w:val="008C78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C783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8C7830"/>
    <w:pPr>
      <w:keepNext/>
      <w:spacing w:after="0" w:line="240" w:lineRule="auto"/>
      <w:ind w:left="1416"/>
      <w:jc w:val="both"/>
      <w:outlineLvl w:val="7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C783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830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8C7830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semiHidden/>
    <w:rsid w:val="008C7830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8C7830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semiHidden/>
    <w:unhideWhenUsed/>
    <w:rsid w:val="008C78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C783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8C78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8C783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8C78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8C783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8C7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No Spacing"/>
    <w:uiPriority w:val="1"/>
    <w:qFormat/>
    <w:rsid w:val="007D60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2022-10-19T06:43:00Z</dcterms:created>
  <dcterms:modified xsi:type="dcterms:W3CDTF">2024-11-13T05:44:00Z</dcterms:modified>
</cp:coreProperties>
</file>